
<file path=[Content_Types].xml><?xml version="1.0" encoding="utf-8"?>
<Types xmlns="http://schemas.openxmlformats.org/package/2006/content-types">
  <Override PartName="/_rels/.rels" ContentType="application/vnd.openxmlformats-package.relationships+xml"/>
  <Override PartName="/word/fontTable.xml" ContentType="application/vnd.openxmlformats-officedocument.wordprocessingml.fontTable+xml"/>
  <Override PartName="/word/theme/theme1.xml" ContentType="application/vnd.openxmlformats-officedocument.theme+xml"/>
  <Override PartName="/word/styles.xml" ContentType="application/vnd.openxmlformats-officedocument.wordprocessingml.styles+xml"/>
  <Override PartName="/word/_rels/document.xml.rels" ContentType="application/vnd.openxmlformats-package.relationships+xml"/>
  <Override PartName="/word/settings.xml" ContentType="application/vnd.openxmlformats-officedocument.wordprocessingml.settings+xml"/>
  <Override PartName="/word/media/image1.png" ContentType="image/png"/>
  <Override PartName="/word/numbering.xml" ContentType="application/vnd.openxmlformats-officedocument.wordprocessingml.numbering+xml"/>
  <Override PartName="/word/document.xml" ContentType="application/vnd.openxmlformats-officedocument.wordprocessingml.document.main+xml"/>
  <Override PartName="/word/footer1.xml" ContentType="application/vnd.openxmlformats-officedocument.wordprocessingml.footer+xml"/>
  <Override PartName="/customXml/_rels/item1.xml.rels" ContentType="application/vnd.openxmlformats-package.relationships+xml"/>
  <Override PartName="/customXml/itemProps1.xml" ContentType="application/vnd.openxmlformats-officedocument.customXmlProperties+xml"/>
  <Override PartName="/customXml/item1.xml" ContentType="application/xml"/>
  <Override PartName="/docProps/custom.xml" ContentType="application/vnd.openxmlformats-officedocument.custom-properties+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Title"/>
        <w:jc w:val="center"/>
        <w:rPr/>
      </w:pPr>
      <w:r>
        <w:rPr>
          <w:lang w:val="de-CH"/>
        </w:rPr>
        <w:t>Abschlussbericht der Seismologischen Pilotstudie für Murgang-Frühwarnung</w:t>
      </w:r>
    </w:p>
    <w:p>
      <w:pPr>
        <w:pStyle w:val="Title"/>
        <w:jc w:val="center"/>
        <w:rPr/>
      </w:pPr>
      <w:r>
        <w:rPr>
          <w:lang w:val="de-CH"/>
        </w:rPr>
        <w:t>am</w:t>
      </w:r>
      <w:r>
        <w:rPr>
          <w:lang w:val="de-CH"/>
        </w:rPr>
        <w:t xml:space="preserve"> Illgraben, </w:t>
      </w:r>
      <w:r>
        <w:rPr>
          <w:lang w:val="de-CH"/>
        </w:rPr>
        <w:t>VS (2018)</w:t>
      </w:r>
    </w:p>
    <w:p>
      <w:pPr>
        <w:pStyle w:val="Normal"/>
        <w:rPr>
          <w:lang w:val="de-CH"/>
        </w:rPr>
      </w:pPr>
      <w:r>
        <w:rPr>
          <w:lang w:val="de-CH"/>
        </w:rPr>
        <mc:AlternateContent>
          <mc:Choice Requires="wps">
            <w:drawing>
              <wp:anchor behindDoc="0" distT="0" distB="0" distL="114300" distR="114300" simplePos="0" locked="0" layoutInCell="1" allowOverlap="1" relativeHeight="2" wp14:anchorId="62A14A77">
                <wp:simplePos x="0" y="0"/>
                <wp:positionH relativeFrom="column">
                  <wp:posOffset>-403225</wp:posOffset>
                </wp:positionH>
                <wp:positionV relativeFrom="paragraph">
                  <wp:posOffset>3099435</wp:posOffset>
                </wp:positionV>
                <wp:extent cx="6175375" cy="434340"/>
                <wp:effectExtent l="0" t="0" r="0" b="4445"/>
                <wp:wrapSquare wrapText="bothSides"/>
                <wp:docPr id="1" name="Text Box 1"/>
                <a:graphic xmlns:a="http://schemas.openxmlformats.org/drawingml/2006/main">
                  <a:graphicData uri="http://schemas.microsoft.com/office/word/2010/wordprocessingShape">
                    <wps:wsp>
                      <wps:cNvSpPr/>
                      <wps:spPr>
                        <a:xfrm>
                          <a:off x="0" y="0"/>
                          <a:ext cx="6174720" cy="433800"/>
                        </a:xfrm>
                        <a:prstGeom prst="rect">
                          <a:avLst/>
                        </a:prstGeom>
                        <a:solidFill>
                          <a:srgbClr val="ffffff"/>
                        </a:solidFill>
                        <a:ln>
                          <a:noFill/>
                        </a:ln>
                      </wps:spPr>
                      <wps:style>
                        <a:lnRef idx="0"/>
                        <a:fillRef idx="0"/>
                        <a:effectRef idx="0"/>
                        <a:fontRef idx="minor"/>
                      </wps:style>
                      <wps:txbx>
                        <w:txbxContent>
                          <w:p>
                            <w:pPr>
                              <w:pStyle w:val="Caption1"/>
                              <w:spacing w:before="0" w:after="200"/>
                              <w:rPr/>
                            </w:pPr>
                            <w:r>
                              <w:rPr>
                                <w:lang w:val="de-CH"/>
                              </w:rPr>
                              <w:t xml:space="preserve">Abbildung </w:t>
                            </w:r>
                            <w:r>
                              <w:rPr>
                                <w:lang w:val="de-CH"/>
                              </w:rPr>
                              <w:fldChar w:fldCharType="begin"/>
                            </w:r>
                            <w:r>
                              <w:instrText> SEQ Figure \* ARABIC </w:instrText>
                            </w:r>
                            <w:r>
                              <w:fldChar w:fldCharType="separate"/>
                            </w:r>
                            <w:r>
                              <w:t>1</w:t>
                            </w:r>
                            <w:r>
                              <w:fldChar w:fldCharType="end"/>
                            </w:r>
                            <w:r>
                              <w:rPr>
                                <w:lang w:val="de-CH"/>
                              </w:rPr>
                              <w:t>: Seismische Murgang-Überwachung. A: Seismometerstandorte (Dreiecke), Niederschlagsmessung (Kreis) und Check Dams (grüne Balken). B: Lokalisierung der Murgangfront mit einem in 2011 aufgestellten Seismometernetz. Warme (rote) Farben zeigen hohe Lokalisierungqualität.</w:t>
                            </w:r>
                          </w:p>
                        </w:txbxContent>
                      </wps:txbx>
                      <wps:bodyPr lIns="0" rIns="0" tIns="0" bIns="0">
                        <a:prstTxWarp prst="textNoShape"/>
                        <a:noAutofit/>
                      </wps:bodyPr>
                    </wps:wsp>
                  </a:graphicData>
                </a:graphic>
              </wp:anchor>
            </w:drawing>
          </mc:Choice>
          <mc:Fallback>
            <w:pict>
              <v:rect id="shape_0" ID="Text Box 1" fillcolor="white" stroked="f" style="position:absolute;margin-left:-31.75pt;margin-top:244.05pt;width:486.15pt;height:34.1pt" wp14:anchorId="62A14A77">
                <w10:wrap type="square"/>
                <v:fill o:detectmouseclick="t" type="solid" color2="black"/>
                <v:stroke color="#3465a4" joinstyle="round" endcap="flat"/>
                <v:textbox>
                  <w:txbxContent>
                    <w:p>
                      <w:pPr>
                        <w:pStyle w:val="Caption1"/>
                        <w:spacing w:before="0" w:after="200"/>
                        <w:rPr/>
                      </w:pPr>
                      <w:r>
                        <w:rPr>
                          <w:lang w:val="de-CH"/>
                        </w:rPr>
                        <w:t xml:space="preserve">Abbildung </w:t>
                      </w:r>
                      <w:r>
                        <w:rPr>
                          <w:lang w:val="de-CH"/>
                        </w:rPr>
                        <w:fldChar w:fldCharType="begin"/>
                      </w:r>
                      <w:r>
                        <w:instrText> SEQ Figure \* ARABIC </w:instrText>
                      </w:r>
                      <w:r>
                        <w:fldChar w:fldCharType="separate"/>
                      </w:r>
                      <w:r>
                        <w:t>1</w:t>
                      </w:r>
                      <w:r>
                        <w:fldChar w:fldCharType="end"/>
                      </w:r>
                      <w:r>
                        <w:rPr>
                          <w:lang w:val="de-CH"/>
                        </w:rPr>
                        <w:t>: Seismische Murgang-Überwachung. A: Seismometerstandorte (Dreiecke), Niederschlagsmessung (Kreis) und Check Dams (grüne Balken). B: Lokalisierung der Murgangfront mit einem in 2011 aufgestellten Seismometernetz. Warme (rote) Farben zeigen hohe Lokalisierungqualität.</w:t>
                      </w:r>
                    </w:p>
                  </w:txbxContent>
                </v:textbox>
              </v:rect>
            </w:pict>
          </mc:Fallback>
        </mc:AlternateContent>
        <mc:AlternateContent>
          <mc:Choice Requires="wps">
            <w:drawing>
              <wp:anchor behindDoc="1" distT="0" distB="0" distL="0" distR="0" simplePos="0" locked="0" layoutInCell="1" allowOverlap="1" relativeHeight="3">
                <wp:simplePos x="0" y="0"/>
                <wp:positionH relativeFrom="column">
                  <wp:posOffset>-402590</wp:posOffset>
                </wp:positionH>
                <wp:positionV relativeFrom="paragraph">
                  <wp:posOffset>207645</wp:posOffset>
                </wp:positionV>
                <wp:extent cx="6175375" cy="2737485"/>
                <wp:effectExtent l="0" t="0" r="0" b="0"/>
                <wp:wrapSquare wrapText="bothSides"/>
                <wp:docPr id="3" name=""/>
                <a:graphic xmlns:a="http://schemas.openxmlformats.org/drawingml/2006/main">
                  <a:graphicData uri="http://schemas.openxmlformats.org/drawingml/2006/picture">
                    <pic:pic xmlns:pic="http://schemas.openxmlformats.org/drawingml/2006/picture">
                      <pic:nvPicPr>
                        <pic:cNvPr id="0" name="" descr=""/>
                        <pic:cNvPicPr/>
                      </pic:nvPicPr>
                      <pic:blipFill>
                        <a:blip r:embed="rId2"/>
                        <a:stretch/>
                      </pic:blipFill>
                      <pic:spPr>
                        <a:xfrm>
                          <a:off x="0" y="0"/>
                          <a:ext cx="6174720" cy="2736720"/>
                        </a:xfrm>
                        <a:prstGeom prst="rect">
                          <a:avLst/>
                        </a:prstGeom>
                        <a:ln>
                          <a:noFill/>
                        </a:ln>
                      </pic:spPr>
                    </pic:pic>
                  </a:graphicData>
                </a:graphic>
              </wp:anchor>
            </w:drawing>
          </mc:Choice>
          <mc:Fallback>
            <w:pict>
              <v:rect id="shape_0" stroked="f" style="position:absolute;margin-left:-31.7pt;margin-top:16.35pt;width:486.15pt;height:215.45pt">
                <v:imagedata r:id="rId2" o:detectmouseclick="t"/>
                <w10:wrap type="none"/>
                <v:stroke color="#3465a4" joinstyle="round" endcap="flat"/>
              </v:rect>
            </w:pict>
          </mc:Fallback>
        </mc:AlternateContent>
      </w:r>
    </w:p>
    <w:p>
      <w:pPr>
        <w:pStyle w:val="Normal"/>
        <w:rPr>
          <w:lang w:val="de-CH"/>
        </w:rPr>
      </w:pPr>
      <w:r>
        <w:rPr>
          <w:lang w:val="de-CH"/>
        </w:rPr>
      </w:r>
    </w:p>
    <w:p>
      <w:pPr>
        <w:pStyle w:val="Normal"/>
        <w:rPr>
          <w:lang w:val="de-CH"/>
        </w:rPr>
      </w:pPr>
      <w:r>
        <w:rPr>
          <w:lang w:val="de-CH"/>
        </w:rPr>
      </w:r>
    </w:p>
    <w:p>
      <w:pPr>
        <w:pStyle w:val="Normal"/>
        <w:rPr>
          <w:lang w:val="de-CH"/>
        </w:rPr>
      </w:pPr>
      <w:r>
        <w:rPr>
          <w:lang w:val="de-CH"/>
        </w:rPr>
      </w:r>
    </w:p>
    <w:p>
      <w:pPr>
        <w:pStyle w:val="Normal"/>
        <w:rPr>
          <w:lang w:val="de-CH"/>
        </w:rPr>
      </w:pPr>
      <w:r>
        <w:rPr>
          <w:lang w:val="de-CH"/>
        </w:rPr>
        <w:t>Datum: 31.10.2018</w:t>
      </w:r>
    </w:p>
    <w:p>
      <w:pPr>
        <w:pStyle w:val="Normal"/>
        <w:rPr>
          <w:lang w:val="de-CH"/>
        </w:rPr>
      </w:pPr>
      <w:r>
        <w:rPr>
          <w:lang w:val="de-CH"/>
        </w:rPr>
      </w:r>
    </w:p>
    <w:p>
      <w:pPr>
        <w:pStyle w:val="Normal"/>
        <w:rPr>
          <w:lang w:val="de-CH"/>
        </w:rPr>
      </w:pPr>
      <w:r>
        <w:rPr>
          <w:lang w:val="de-CH"/>
        </w:rPr>
      </w:r>
    </w:p>
    <w:p>
      <w:pPr>
        <w:pStyle w:val="Normal"/>
        <w:rPr>
          <w:lang w:val="de-CH"/>
        </w:rPr>
      </w:pPr>
      <w:r>
        <w:rPr>
          <w:lang w:val="de-CH"/>
        </w:rPr>
      </w:r>
    </w:p>
    <w:p>
      <w:pPr>
        <w:pStyle w:val="Normal"/>
        <w:rPr>
          <w:lang w:val="de-CH"/>
        </w:rPr>
      </w:pPr>
      <w:r>
        <w:rPr>
          <w:lang w:val="de-CH"/>
        </w:rPr>
        <w:t>Projektleitung: Prof. Dr. Fabian Walter</w:t>
      </w:r>
    </w:p>
    <w:p>
      <w:pPr>
        <w:pStyle w:val="Normal"/>
        <w:rPr>
          <w:lang w:val="de-CH"/>
        </w:rPr>
      </w:pPr>
      <w:r>
        <w:rPr>
          <w:lang w:val="de-CH"/>
        </w:rPr>
      </w:r>
    </w:p>
    <w:p>
      <w:pPr>
        <w:pStyle w:val="Normal"/>
        <w:rPr>
          <w:lang w:val="de-CH"/>
        </w:rPr>
      </w:pPr>
      <w:r>
        <w:rPr>
          <w:lang w:val="de-CH"/>
        </w:rPr>
        <w:t>ETH Zürich</w:t>
        <w:br/>
        <w:t>Versuchsanstalt für Wasserbau, Hydrologie u. Glaziologie (VAW)</w:t>
        <w:br/>
        <w:t>HIA D 56.1</w:t>
        <w:br/>
        <w:t>Hönggerbergring 26</w:t>
        <w:br/>
        <w:t>8093 Zürich</w:t>
        <w:br/>
        <w:br/>
        <w:t>Tel: +41 44 632 4162</w:t>
      </w:r>
    </w:p>
    <w:p>
      <w:pPr>
        <w:pStyle w:val="Normal"/>
        <w:rPr/>
      </w:pPr>
      <w:r>
        <w:rPr/>
        <w:t>Email: walter@vaw.baug.ethz.ch</w:t>
      </w:r>
    </w:p>
    <w:p>
      <w:pPr>
        <w:pStyle w:val="Normal"/>
        <w:rPr/>
      </w:pPr>
      <w:hyperlink r:id="rId3">
        <w:r>
          <w:rPr>
            <w:rStyle w:val="InternetLink"/>
          </w:rPr>
          <w:t>http://n.ethz.ch/~fwalter/</w:t>
        </w:r>
      </w:hyperlink>
    </w:p>
    <w:p>
      <w:pPr>
        <w:pStyle w:val="Normal"/>
        <w:rPr/>
      </w:pPr>
      <w:r>
        <w:rPr/>
      </w:r>
    </w:p>
    <w:p>
      <w:pPr>
        <w:pStyle w:val="Normal"/>
        <w:rPr/>
      </w:pPr>
      <w:r>
        <w:rPr/>
      </w:r>
    </w:p>
    <w:p>
      <w:pPr>
        <w:pStyle w:val="Normal"/>
        <w:rPr>
          <w:lang w:val="de-CH"/>
        </w:rPr>
      </w:pPr>
      <w:r>
        <w:rPr>
          <w:lang w:val="de-CH"/>
        </w:rPr>
        <w:t>Projektpartner:</w:t>
      </w:r>
    </w:p>
    <w:p>
      <w:pPr>
        <w:pStyle w:val="Normal"/>
        <w:rPr>
          <w:lang w:val="de-CH"/>
        </w:rPr>
      </w:pPr>
      <w:r>
        <w:rPr>
          <w:lang w:val="de-CH"/>
        </w:rPr>
      </w:r>
    </w:p>
    <w:p>
      <w:pPr>
        <w:pStyle w:val="Normal"/>
        <w:rPr>
          <w:lang w:val="de-DE"/>
        </w:rPr>
      </w:pPr>
      <w:r>
        <w:rPr>
          <w:lang w:val="de-CH"/>
        </w:rPr>
        <w:t>Dr. Manfred Stähli, Eidg. Forschungsanstalt f</w:t>
      </w:r>
      <w:r>
        <w:rPr>
          <w:lang w:val="de-DE"/>
        </w:rPr>
        <w:t>ür Wald, Schnee und Landschaft WSL</w:t>
      </w:r>
    </w:p>
    <w:p>
      <w:pPr>
        <w:pStyle w:val="Normal"/>
        <w:rPr>
          <w:lang w:val="de-DE"/>
        </w:rPr>
      </w:pPr>
      <w:r>
        <w:rPr>
          <w:lang w:val="de-DE"/>
        </w:rPr>
        <w:t>Prof. Dr. Stefan Wiemer, Schweizerischer Erdbebendienst</w:t>
      </w:r>
    </w:p>
    <w:p>
      <w:pPr>
        <w:pStyle w:val="Normal"/>
        <w:rPr>
          <w:lang w:val="de-DE"/>
        </w:rPr>
      </w:pPr>
      <w:r>
        <w:rPr>
          <w:lang w:val="de-DE"/>
        </w:rPr>
      </w:r>
    </w:p>
    <w:p>
      <w:pPr>
        <w:pStyle w:val="Normal"/>
        <w:rPr>
          <w:lang w:val="de-DE"/>
        </w:rPr>
      </w:pPr>
      <w:r>
        <w:rPr>
          <w:lang w:val="de-DE"/>
        </w:rPr>
      </w:r>
    </w:p>
    <w:p>
      <w:pPr>
        <w:pStyle w:val="Normal"/>
        <w:rPr>
          <w:lang w:val="de-DE"/>
        </w:rPr>
      </w:pPr>
      <w:r>
        <w:rPr>
          <w:lang w:val="de-DE"/>
        </w:rPr>
      </w:r>
    </w:p>
    <w:p>
      <w:pPr>
        <w:pStyle w:val="Normal"/>
        <w:rPr>
          <w:lang w:val="de-DE"/>
        </w:rPr>
      </w:pPr>
      <w:r>
        <w:rPr>
          <w:lang w:val="de-DE"/>
        </w:rPr>
      </w:r>
    </w:p>
    <w:p>
      <w:pPr>
        <w:pStyle w:val="Normal"/>
        <w:rPr>
          <w:lang w:val="de-DE"/>
        </w:rPr>
      </w:pPr>
      <w:r>
        <w:rPr>
          <w:lang w:val="de-DE"/>
        </w:rPr>
      </w:r>
    </w:p>
    <w:p>
      <w:pPr>
        <w:pStyle w:val="Normal"/>
        <w:spacing w:before="0" w:after="120"/>
        <w:jc w:val="both"/>
        <w:rPr/>
      </w:pPr>
      <w:r>
        <w:rPr>
          <w:b/>
          <w:caps/>
          <w:lang w:val="de-DE"/>
        </w:rPr>
        <w:t>ZUSAMMENFASSUNG</w:t>
      </w:r>
    </w:p>
    <w:p>
      <w:pPr>
        <w:pStyle w:val="Normal"/>
        <w:spacing w:before="0" w:after="120"/>
        <w:jc w:val="both"/>
        <w:rPr>
          <w:lang w:val="de-DE"/>
        </w:rPr>
      </w:pPr>
      <w:r>
        <w:rPr/>
      </w:r>
    </w:p>
    <w:p>
      <w:pPr>
        <w:pStyle w:val="Normal"/>
        <w:spacing w:before="0" w:after="120"/>
        <w:jc w:val="both"/>
        <w:rPr>
          <w:b/>
          <w:b/>
          <w:bCs/>
        </w:rPr>
      </w:pPr>
      <w:r>
        <w:rPr>
          <w:b/>
          <w:bCs/>
          <w:lang w:val="de-DE"/>
        </w:rPr>
        <w:t>PROBLEMBESCHRIEB UND ZIEL DES PILOTPROJEKTES</w:t>
      </w:r>
    </w:p>
    <w:p>
      <w:pPr>
        <w:pStyle w:val="Normal"/>
        <w:spacing w:before="0" w:after="120"/>
        <w:jc w:val="both"/>
        <w:rPr/>
      </w:pPr>
      <w:r>
        <w:rPr>
          <w:lang w:val="de-DE"/>
        </w:rPr>
        <w:t>Was sind Murgaenge?</w:t>
      </w:r>
    </w:p>
    <w:p>
      <w:pPr>
        <w:pStyle w:val="Normal"/>
        <w:spacing w:before="0" w:after="120"/>
        <w:jc w:val="both"/>
        <w:rPr/>
      </w:pPr>
      <w:r>
        <w:rPr>
          <w:lang w:val="de-DE"/>
        </w:rPr>
        <w:t>Murgaenge sind gefaehrlich</w:t>
      </w:r>
    </w:p>
    <w:p>
      <w:pPr>
        <w:pStyle w:val="Normal"/>
        <w:spacing w:before="0" w:after="120"/>
        <w:jc w:val="both"/>
        <w:rPr/>
      </w:pPr>
      <w:r>
        <w:rPr>
          <w:lang w:val="de-DE"/>
        </w:rPr>
        <w:t>Murgaenge am Illgraben</w:t>
      </w:r>
    </w:p>
    <w:p>
      <w:pPr>
        <w:pStyle w:val="Normal"/>
        <w:spacing w:before="0" w:after="120"/>
        <w:jc w:val="both"/>
        <w:rPr/>
      </w:pPr>
      <w:r>
        <w:rPr>
          <w:lang w:val="de-DE"/>
        </w:rPr>
        <w:t xml:space="preserve">   </w:t>
      </w:r>
      <w:r>
        <w:rPr>
          <w:lang w:val="de-DE"/>
        </w:rPr>
        <w:t>Gefahr</w:t>
      </w:r>
    </w:p>
    <w:p>
      <w:pPr>
        <w:pStyle w:val="Normal"/>
        <w:spacing w:before="0" w:after="120"/>
        <w:jc w:val="both"/>
        <w:rPr/>
      </w:pPr>
      <w:r>
        <w:rPr>
          <w:lang w:val="de-DE"/>
        </w:rPr>
        <w:t xml:space="preserve">   </w:t>
      </w:r>
      <w:r>
        <w:rPr>
          <w:lang w:val="de-DE"/>
        </w:rPr>
        <w:t xml:space="preserve">Was es schon gibt: </w:t>
      </w:r>
      <w:r>
        <w:rPr>
          <w:lang w:val="de-DE"/>
        </w:rPr>
        <w:t>Niederschlag, was jedoch ein Problem ist</w:t>
      </w:r>
    </w:p>
    <w:p>
      <w:pPr>
        <w:pStyle w:val="Normal"/>
        <w:spacing w:before="0" w:after="120"/>
        <w:jc w:val="both"/>
        <w:rPr/>
      </w:pPr>
      <w:r>
        <w:rPr>
          <w:lang w:val="de-DE"/>
        </w:rPr>
        <w:t xml:space="preserve">   </w:t>
      </w:r>
      <w:r>
        <w:rPr>
          <w:lang w:val="de-DE"/>
        </w:rPr>
        <w:t xml:space="preserve">In-torrent Detektionen: </w:t>
      </w:r>
      <w:r>
        <w:rPr>
          <w:lang w:val="de-DE"/>
        </w:rPr>
        <w:t>CD1 nicht verlässlich</w:t>
      </w:r>
    </w:p>
    <w:p>
      <w:pPr>
        <w:pStyle w:val="Normal"/>
        <w:spacing w:before="0" w:after="120"/>
        <w:jc w:val="both"/>
        <w:rPr/>
      </w:pPr>
      <w:r>
        <w:rPr>
          <w:lang w:val="de-DE"/>
        </w:rPr>
        <w:t xml:space="preserve">   </w:t>
      </w:r>
    </w:p>
    <w:p>
      <w:pPr>
        <w:pStyle w:val="Normal"/>
        <w:spacing w:before="0" w:after="120"/>
        <w:jc w:val="both"/>
        <w:rPr/>
      </w:pPr>
      <w:r>
        <w:rPr>
          <w:lang w:val="de-DE"/>
        </w:rPr>
        <w:t xml:space="preserve">Instrumentierung direkt im Gerinne wie sie fuer die Detektion am Illgraben derzeit benötigt wird, bedeutet, dass Murgaenge erst dann registriert werden, wenn sie zugaengliches Gelaende erreichen. Weiter oben im Einzugsgebiet ist eine Detektion somit nicht moeglich. Da sich Murgaenge im Vergleich zu Steinschlägen, Lawinen und Felsstürzen mit eher niedrigen Geschwindigkeiten bewegen (typischer Weise um 10 m/s Huerlimann et al., 2003) koennten Detektionen im Einzugsgebiet die Fruehwarnzeit jedoch erheblich verlaengern. Im Falle des Illgrabens befindet sich der erste Detektionpunkt am Check Dam 1 ueber einen Kilometer vom Kopf des Gerinnes (s. Abb. 1) . Mit Geschwindigkeiten von einigen Metern pro Sekunde waere eine Verlaengerung der Fruehwarnzeit gegenueber Detektionen am Check Dam 1 um bis zu 10 Minuten denkbar. Mit dieser Pilotstudie wird versucht dies mit seismischer Instrumentierung zu erreichen. </w:t>
      </w:r>
    </w:p>
    <w:p>
      <w:pPr>
        <w:pStyle w:val="Normal"/>
        <w:spacing w:before="0" w:after="120"/>
        <w:jc w:val="both"/>
        <w:rPr>
          <w:lang w:val="de-DE"/>
        </w:rPr>
      </w:pPr>
      <w:r>
        <w:rPr/>
      </w:r>
    </w:p>
    <w:p>
      <w:pPr>
        <w:pStyle w:val="Normal"/>
        <w:spacing w:before="0" w:after="120"/>
        <w:jc w:val="both"/>
        <w:rPr/>
      </w:pPr>
      <w:r>
        <w:rPr>
          <w:b/>
          <w:bCs/>
          <w:lang w:val="de-DE"/>
        </w:rPr>
        <w:t>SEISMOLOGISCHE MESSUNGEN AM ILLGRABEN 2018</w:t>
      </w:r>
    </w:p>
    <w:p>
      <w:pPr>
        <w:pStyle w:val="Normal"/>
        <w:spacing w:before="0" w:after="120"/>
        <w:jc w:val="both"/>
        <w:rPr/>
      </w:pPr>
      <w:r>
        <w:rPr>
          <w:lang w:val="de-DE"/>
        </w:rPr>
        <w:t>Zwischen Mai und September 2018 wurde im Rahmen der Pilotstudie ein aus 8 Seismometern bestehendes Netz in und um das Einzugsgebietes des Illgraben aufgestellt (Abb 1 und Tabelle 1). Stationen ILL12-ILL18 bestanden aus Lennartz 1s Seismometern und Nanometrics Centaur Loggern, die mit einer Abtastrate von 100 Hz die drei Komponenten der seismischen Bodengeschwindigkeit aufzeichnen. ILL13 war stattdessen mit einem Nanometrics Trillium Compact ausgestattet, welches Perioden von bis zu 120 s registriert. Alle Stationen übermittelten Daten in Echtzeit Mittels eines Modems (AnyRover mini von cabtonix) durch das Swisscom Mobilfunknetz an den Schweizerischen Erdbebendienst (SED). Stationen ILL15 und ILL16 gingen aufgrund technischer Probleme jedoch erst in der 2. Junihälfte online. Ungefähr alle 8 Sekunden stellten die SED Server neue Datenpakete zur Verfuegung, die durch einen seedlink client auf einen Dektop Computer an der VAW uebertragen wurden, der die eintreffenden Daten mit einem Python Skript automatisch analysierte.</w:t>
      </w:r>
    </w:p>
    <w:p>
      <w:pPr>
        <w:pStyle w:val="Normal"/>
        <w:spacing w:before="0" w:after="120"/>
        <w:jc w:val="both"/>
        <w:rPr>
          <w:lang w:val="de-DE"/>
        </w:rPr>
      </w:pPr>
      <w:r>
        <w:rPr>
          <w:lang w:val="de-DE"/>
        </w:rPr>
      </w:r>
    </w:p>
    <w:p>
      <w:pPr>
        <w:pStyle w:val="Normal"/>
        <w:spacing w:before="0" w:after="120"/>
        <w:jc w:val="both"/>
        <w:rPr>
          <w:lang w:val="de-DE"/>
        </w:rPr>
      </w:pPr>
      <w:r>
        <w:rPr>
          <w:lang w:val="de-DE"/>
        </w:rPr>
        <w:t>Tabelle 1: Zeitplan der seismischen Murgangueberwachung am Illgraben im Sommer 2018.</w:t>
      </w:r>
    </w:p>
    <w:tbl>
      <w:tblPr>
        <w:tblStyle w:val="TableGrid"/>
        <w:tblW w:w="6926" w:type="dxa"/>
        <w:jc w:val="center"/>
        <w:tblInd w:w="0" w:type="dxa"/>
        <w:tblCellMar>
          <w:top w:w="0" w:type="dxa"/>
          <w:left w:w="108" w:type="dxa"/>
          <w:bottom w:w="0" w:type="dxa"/>
          <w:right w:w="108" w:type="dxa"/>
        </w:tblCellMar>
        <w:tblLook w:val="04a0" w:noVBand="1" w:noHBand="0" w:lastColumn="0" w:firstColumn="1" w:lastRow="0" w:firstRow="1"/>
      </w:tblPr>
      <w:tblGrid>
        <w:gridCol w:w="4640"/>
        <w:gridCol w:w="2286"/>
      </w:tblGrid>
      <w:tr>
        <w:trPr>
          <w:tblHeader w:val="true"/>
        </w:trPr>
        <w:tc>
          <w:tcPr>
            <w:tcW w:w="4640" w:type="dxa"/>
            <w:tcBorders>
              <w:top w:val="nil"/>
            </w:tcBorders>
            <w:shd w:color="auto" w:fill="auto" w:val="pct12"/>
            <w:tcMar>
              <w:left w:w="108" w:type="dxa"/>
            </w:tcMar>
          </w:tcPr>
          <w:p>
            <w:pPr>
              <w:pStyle w:val="Normal"/>
              <w:spacing w:before="0" w:after="120"/>
              <w:jc w:val="both"/>
              <w:rPr>
                <w:sz w:val="20"/>
                <w:szCs w:val="20"/>
              </w:rPr>
            </w:pPr>
            <w:r>
              <w:rPr>
                <w:sz w:val="20"/>
                <w:szCs w:val="20"/>
                <w:lang w:val="de-DE"/>
              </w:rPr>
              <w:t>Aktivität</w:t>
            </w:r>
          </w:p>
        </w:tc>
        <w:tc>
          <w:tcPr>
            <w:tcW w:w="2286" w:type="dxa"/>
            <w:tcBorders>
              <w:top w:val="nil"/>
            </w:tcBorders>
            <w:shd w:color="auto" w:fill="auto" w:val="pct12"/>
            <w:tcMar>
              <w:left w:w="108" w:type="dxa"/>
            </w:tcMar>
          </w:tcPr>
          <w:p>
            <w:pPr>
              <w:pStyle w:val="Normal"/>
              <w:spacing w:before="0" w:after="120"/>
              <w:jc w:val="both"/>
              <w:rPr>
                <w:sz w:val="20"/>
                <w:szCs w:val="20"/>
              </w:rPr>
            </w:pPr>
            <w:r>
              <w:rPr>
                <w:sz w:val="20"/>
                <w:szCs w:val="20"/>
                <w:lang w:val="de-DE"/>
              </w:rPr>
              <w:t>Zeitpunkt / Zeitraum</w:t>
            </w:r>
          </w:p>
        </w:tc>
      </w:tr>
      <w:tr>
        <w:trPr/>
        <w:tc>
          <w:tcPr>
            <w:tcW w:w="4640" w:type="dxa"/>
            <w:tcBorders/>
            <w:shd w:fill="auto" w:val="clear"/>
            <w:tcMar>
              <w:left w:w="108" w:type="dxa"/>
            </w:tcMar>
          </w:tcPr>
          <w:p>
            <w:pPr>
              <w:pStyle w:val="Normal"/>
              <w:spacing w:before="0" w:after="120"/>
              <w:jc w:val="both"/>
              <w:rPr>
                <w:sz w:val="20"/>
                <w:szCs w:val="20"/>
              </w:rPr>
            </w:pPr>
            <w:r>
              <w:rPr>
                <w:sz w:val="20"/>
                <w:szCs w:val="20"/>
                <w:lang w:val="de-DE"/>
              </w:rPr>
              <w:t xml:space="preserve">Projektbeginn: </w:t>
            </w:r>
          </w:p>
        </w:tc>
        <w:tc>
          <w:tcPr>
            <w:tcW w:w="2286" w:type="dxa"/>
            <w:tcBorders/>
            <w:shd w:fill="auto" w:val="clear"/>
            <w:tcMar>
              <w:left w:w="108" w:type="dxa"/>
            </w:tcMar>
          </w:tcPr>
          <w:p>
            <w:pPr>
              <w:pStyle w:val="Normal"/>
              <w:spacing w:before="0" w:after="120"/>
              <w:jc w:val="both"/>
              <w:rPr>
                <w:sz w:val="20"/>
                <w:szCs w:val="20"/>
              </w:rPr>
            </w:pPr>
            <w:r>
              <w:rPr>
                <w:sz w:val="20"/>
                <w:szCs w:val="20"/>
                <w:lang w:val="de-DE"/>
              </w:rPr>
              <w:t>16. April</w:t>
            </w:r>
          </w:p>
        </w:tc>
      </w:tr>
      <w:tr>
        <w:trPr/>
        <w:tc>
          <w:tcPr>
            <w:tcW w:w="4640" w:type="dxa"/>
            <w:tcBorders/>
            <w:shd w:fill="auto" w:val="clear"/>
            <w:tcMar>
              <w:left w:w="108" w:type="dxa"/>
            </w:tcMar>
          </w:tcPr>
          <w:p>
            <w:pPr>
              <w:pStyle w:val="ListParagraph"/>
              <w:numPr>
                <w:ilvl w:val="0"/>
                <w:numId w:val="0"/>
              </w:numPr>
              <w:spacing w:before="0" w:after="120"/>
              <w:ind w:left="360" w:hanging="0"/>
              <w:contextualSpacing/>
              <w:rPr>
                <w:sz w:val="20"/>
                <w:szCs w:val="20"/>
              </w:rPr>
            </w:pPr>
            <w:r>
              <w:rPr>
                <w:sz w:val="20"/>
                <w:szCs w:val="20"/>
                <w:lang w:val="de-DE"/>
              </w:rPr>
              <w:t>Vorbereitung</w:t>
            </w:r>
          </w:p>
          <w:p>
            <w:pPr>
              <w:pStyle w:val="ListParagraph"/>
              <w:numPr>
                <w:ilvl w:val="0"/>
                <w:numId w:val="1"/>
              </w:numPr>
              <w:spacing w:before="0" w:after="120"/>
              <w:contextualSpacing/>
              <w:rPr>
                <w:sz w:val="20"/>
                <w:szCs w:val="20"/>
              </w:rPr>
            </w:pPr>
            <w:r>
              <w:rPr>
                <w:sz w:val="20"/>
                <w:szCs w:val="20"/>
                <w:lang w:val="de-DE"/>
              </w:rPr>
              <w:t>Programmieren des Daten-Download-Clients u. Detektionsalgorithmusses</w:t>
            </w:r>
          </w:p>
          <w:p>
            <w:pPr>
              <w:pStyle w:val="ListParagraph"/>
              <w:numPr>
                <w:ilvl w:val="0"/>
                <w:numId w:val="1"/>
              </w:numPr>
              <w:spacing w:before="0" w:after="120"/>
              <w:contextualSpacing/>
              <w:rPr>
                <w:sz w:val="20"/>
                <w:szCs w:val="20"/>
              </w:rPr>
            </w:pPr>
            <w:r>
              <w:rPr>
                <w:sz w:val="20"/>
                <w:szCs w:val="20"/>
                <w:lang w:val="de-DE"/>
              </w:rPr>
              <w:t>Vorbereitung der Instrumente</w:t>
            </w:r>
          </w:p>
        </w:tc>
        <w:tc>
          <w:tcPr>
            <w:tcW w:w="2286" w:type="dxa"/>
            <w:tcBorders/>
            <w:shd w:fill="auto" w:val="clear"/>
            <w:tcMar>
              <w:left w:w="108" w:type="dxa"/>
            </w:tcMar>
          </w:tcPr>
          <w:p>
            <w:pPr>
              <w:pStyle w:val="Normal"/>
              <w:spacing w:before="0" w:after="120"/>
              <w:jc w:val="both"/>
              <w:rPr>
                <w:sz w:val="20"/>
                <w:szCs w:val="20"/>
              </w:rPr>
            </w:pPr>
            <w:r>
              <w:rPr>
                <w:sz w:val="20"/>
                <w:szCs w:val="20"/>
                <w:lang w:val="de-DE"/>
              </w:rPr>
              <w:t>16. April – 11. Mai</w:t>
            </w:r>
          </w:p>
        </w:tc>
      </w:tr>
      <w:tr>
        <w:trPr/>
        <w:tc>
          <w:tcPr>
            <w:tcW w:w="4640" w:type="dxa"/>
            <w:tcBorders/>
            <w:shd w:fill="auto" w:val="clear"/>
            <w:tcMar>
              <w:left w:w="108" w:type="dxa"/>
            </w:tcMar>
          </w:tcPr>
          <w:p>
            <w:pPr>
              <w:pStyle w:val="Normal"/>
              <w:spacing w:before="0" w:after="120"/>
              <w:rPr>
                <w:sz w:val="20"/>
                <w:szCs w:val="20"/>
              </w:rPr>
            </w:pPr>
            <w:r>
              <w:rPr>
                <w:sz w:val="20"/>
                <w:szCs w:val="20"/>
                <w:lang w:val="de-DE"/>
              </w:rPr>
              <w:t>Installation der 8 Seismometer</w:t>
            </w:r>
          </w:p>
        </w:tc>
        <w:tc>
          <w:tcPr>
            <w:tcW w:w="2286" w:type="dxa"/>
            <w:tcBorders/>
            <w:shd w:fill="auto" w:val="clear"/>
            <w:tcMar>
              <w:left w:w="108" w:type="dxa"/>
            </w:tcMar>
          </w:tcPr>
          <w:p>
            <w:pPr>
              <w:pStyle w:val="Normal"/>
              <w:spacing w:before="0" w:after="120"/>
              <w:jc w:val="both"/>
              <w:rPr>
                <w:sz w:val="20"/>
                <w:szCs w:val="20"/>
              </w:rPr>
            </w:pPr>
            <w:r>
              <w:rPr>
                <w:sz w:val="20"/>
                <w:szCs w:val="20"/>
                <w:lang w:val="de-DE"/>
              </w:rPr>
              <w:t>1</w:t>
            </w:r>
            <w:r>
              <w:rPr>
                <w:sz w:val="20"/>
                <w:szCs w:val="20"/>
                <w:lang w:val="de-DE"/>
              </w:rPr>
              <w:t>8. Mai</w:t>
            </w:r>
          </w:p>
        </w:tc>
      </w:tr>
      <w:tr>
        <w:trPr/>
        <w:tc>
          <w:tcPr>
            <w:tcW w:w="4640" w:type="dxa"/>
            <w:tcBorders/>
            <w:shd w:fill="auto" w:val="clear"/>
            <w:tcMar>
              <w:left w:w="108" w:type="dxa"/>
            </w:tcMar>
          </w:tcPr>
          <w:p>
            <w:pPr>
              <w:pStyle w:val="Normal"/>
              <w:spacing w:before="0" w:after="120"/>
              <w:rPr>
                <w:sz w:val="20"/>
                <w:szCs w:val="20"/>
              </w:rPr>
            </w:pPr>
            <w:r>
              <w:rPr>
                <w:sz w:val="20"/>
                <w:szCs w:val="20"/>
                <w:lang w:val="de-DE"/>
              </w:rPr>
              <w:t>Testen und Anpassen des Detektionsalgorithmusses</w:t>
            </w:r>
          </w:p>
        </w:tc>
        <w:tc>
          <w:tcPr>
            <w:tcW w:w="2286" w:type="dxa"/>
            <w:tcBorders/>
            <w:shd w:fill="auto" w:val="clear"/>
            <w:tcMar>
              <w:left w:w="108" w:type="dxa"/>
            </w:tcMar>
          </w:tcPr>
          <w:p>
            <w:pPr>
              <w:pStyle w:val="Normal"/>
              <w:spacing w:before="0" w:after="120"/>
              <w:jc w:val="both"/>
              <w:rPr>
                <w:sz w:val="20"/>
                <w:szCs w:val="20"/>
              </w:rPr>
            </w:pPr>
            <w:r>
              <w:rPr>
                <w:sz w:val="20"/>
                <w:szCs w:val="20"/>
                <w:lang w:val="de-DE"/>
              </w:rPr>
              <w:t>21. – 28. Mai</w:t>
            </w:r>
          </w:p>
        </w:tc>
      </w:tr>
      <w:tr>
        <w:trPr/>
        <w:tc>
          <w:tcPr>
            <w:tcW w:w="4640" w:type="dxa"/>
            <w:tcBorders/>
            <w:shd w:fill="auto" w:val="clear"/>
            <w:tcMar>
              <w:left w:w="108" w:type="dxa"/>
            </w:tcMar>
          </w:tcPr>
          <w:p>
            <w:pPr>
              <w:pStyle w:val="Normal"/>
              <w:spacing w:before="0" w:after="120"/>
              <w:rPr>
                <w:sz w:val="20"/>
                <w:szCs w:val="20"/>
              </w:rPr>
            </w:pPr>
            <w:r>
              <w:rPr>
                <w:sz w:val="20"/>
                <w:szCs w:val="20"/>
                <w:lang w:val="de-DE"/>
              </w:rPr>
              <w:t>Betrieb der seismischen Überwachung</w:t>
            </w:r>
          </w:p>
        </w:tc>
        <w:tc>
          <w:tcPr>
            <w:tcW w:w="2286" w:type="dxa"/>
            <w:tcBorders/>
            <w:shd w:fill="auto" w:val="clear"/>
            <w:tcMar>
              <w:left w:w="108" w:type="dxa"/>
            </w:tcMar>
          </w:tcPr>
          <w:p>
            <w:pPr>
              <w:pStyle w:val="Normal"/>
              <w:spacing w:before="0" w:after="120"/>
              <w:jc w:val="both"/>
              <w:rPr>
                <w:sz w:val="20"/>
                <w:szCs w:val="20"/>
              </w:rPr>
            </w:pPr>
            <w:r>
              <w:rPr>
                <w:sz w:val="20"/>
                <w:szCs w:val="20"/>
                <w:lang w:val="de-DE"/>
              </w:rPr>
              <w:t>1</w:t>
            </w:r>
            <w:r>
              <w:rPr>
                <w:sz w:val="20"/>
                <w:szCs w:val="20"/>
                <w:lang w:val="de-DE"/>
              </w:rPr>
              <w:t>.</w:t>
            </w:r>
            <w:r>
              <w:rPr>
                <w:sz w:val="20"/>
                <w:szCs w:val="20"/>
                <w:lang w:val="de-DE"/>
              </w:rPr>
              <w:t>Juni</w:t>
            </w:r>
            <w:r>
              <w:rPr>
                <w:sz w:val="20"/>
                <w:szCs w:val="20"/>
                <w:lang w:val="de-DE"/>
              </w:rPr>
              <w:t xml:space="preserve"> – </w:t>
            </w:r>
            <w:r>
              <w:rPr>
                <w:sz w:val="20"/>
                <w:szCs w:val="20"/>
                <w:lang w:val="de-DE"/>
              </w:rPr>
              <w:t>13</w:t>
            </w:r>
            <w:r>
              <w:rPr>
                <w:sz w:val="20"/>
                <w:szCs w:val="20"/>
                <w:lang w:val="de-DE"/>
              </w:rPr>
              <w:t xml:space="preserve">. </w:t>
            </w:r>
            <w:r>
              <w:rPr>
                <w:sz w:val="20"/>
                <w:szCs w:val="20"/>
                <w:lang w:val="de-DE"/>
              </w:rPr>
              <w:t>September</w:t>
            </w:r>
          </w:p>
        </w:tc>
      </w:tr>
      <w:tr>
        <w:trPr/>
        <w:tc>
          <w:tcPr>
            <w:tcW w:w="4640" w:type="dxa"/>
            <w:tcBorders/>
            <w:shd w:fill="auto" w:val="clear"/>
            <w:tcMar>
              <w:left w:w="108" w:type="dxa"/>
            </w:tcMar>
          </w:tcPr>
          <w:p>
            <w:pPr>
              <w:pStyle w:val="Normal"/>
              <w:spacing w:before="0" w:after="120"/>
              <w:rPr>
                <w:sz w:val="20"/>
                <w:szCs w:val="20"/>
              </w:rPr>
            </w:pPr>
            <w:r>
              <w:rPr>
                <w:sz w:val="20"/>
                <w:szCs w:val="20"/>
                <w:lang w:val="de-DE"/>
              </w:rPr>
              <w:t>Abbau de</w:t>
            </w:r>
            <w:r>
              <w:rPr>
                <w:sz w:val="20"/>
                <w:szCs w:val="20"/>
                <w:lang w:val="de-DE"/>
              </w:rPr>
              <w:t>s Seismometernetzwerkes</w:t>
            </w:r>
          </w:p>
        </w:tc>
        <w:tc>
          <w:tcPr>
            <w:tcW w:w="2286" w:type="dxa"/>
            <w:tcBorders/>
            <w:shd w:fill="auto" w:val="clear"/>
            <w:tcMar>
              <w:left w:w="108" w:type="dxa"/>
            </w:tcMar>
          </w:tcPr>
          <w:p>
            <w:pPr>
              <w:pStyle w:val="Normal"/>
              <w:spacing w:before="0" w:after="120"/>
              <w:jc w:val="both"/>
              <w:rPr>
                <w:sz w:val="20"/>
                <w:szCs w:val="20"/>
              </w:rPr>
            </w:pPr>
            <w:r>
              <w:rPr>
                <w:sz w:val="20"/>
                <w:szCs w:val="20"/>
                <w:lang w:val="de-DE"/>
              </w:rPr>
              <w:t>13. September</w:t>
            </w:r>
          </w:p>
        </w:tc>
      </w:tr>
      <w:tr>
        <w:trPr/>
        <w:tc>
          <w:tcPr>
            <w:tcW w:w="4640" w:type="dxa"/>
            <w:tcBorders/>
            <w:shd w:fill="auto" w:val="clear"/>
            <w:tcMar>
              <w:left w:w="108" w:type="dxa"/>
            </w:tcMar>
          </w:tcPr>
          <w:p>
            <w:pPr>
              <w:pStyle w:val="ListParagraph"/>
              <w:numPr>
                <w:ilvl w:val="0"/>
                <w:numId w:val="0"/>
              </w:numPr>
              <w:spacing w:before="0" w:after="120"/>
              <w:ind w:left="360" w:hanging="0"/>
              <w:contextualSpacing/>
              <w:rPr>
                <w:sz w:val="20"/>
                <w:szCs w:val="20"/>
              </w:rPr>
            </w:pPr>
            <w:r>
              <w:rPr>
                <w:sz w:val="20"/>
                <w:szCs w:val="20"/>
                <w:lang w:val="de-DE"/>
              </w:rPr>
              <w:t>Datenauswertung</w:t>
            </w:r>
          </w:p>
          <w:p>
            <w:pPr>
              <w:pStyle w:val="ListParagraph"/>
              <w:numPr>
                <w:ilvl w:val="0"/>
                <w:numId w:val="2"/>
              </w:numPr>
              <w:spacing w:before="0" w:after="120"/>
              <w:contextualSpacing/>
              <w:rPr>
                <w:sz w:val="20"/>
                <w:szCs w:val="20"/>
              </w:rPr>
            </w:pPr>
            <w:r>
              <w:rPr>
                <w:sz w:val="20"/>
                <w:szCs w:val="20"/>
                <w:lang w:val="de-DE"/>
              </w:rPr>
              <w:t>Evaluierung der Performance der seismischen Überwachung</w:t>
            </w:r>
          </w:p>
          <w:p>
            <w:pPr>
              <w:pStyle w:val="ListParagraph"/>
              <w:numPr>
                <w:ilvl w:val="0"/>
                <w:numId w:val="2"/>
              </w:numPr>
              <w:spacing w:before="0" w:after="120"/>
              <w:contextualSpacing/>
              <w:rPr>
                <w:sz w:val="20"/>
                <w:szCs w:val="20"/>
              </w:rPr>
            </w:pPr>
            <w:r>
              <w:rPr>
                <w:sz w:val="20"/>
                <w:szCs w:val="20"/>
                <w:lang w:val="de-DE"/>
              </w:rPr>
              <w:t>Post-prozessieren zur Reduzierung der falschen Alarme</w:t>
            </w:r>
          </w:p>
          <w:p>
            <w:pPr>
              <w:pStyle w:val="ListParagraph"/>
              <w:numPr>
                <w:ilvl w:val="0"/>
                <w:numId w:val="2"/>
              </w:numPr>
              <w:spacing w:before="0" w:after="120"/>
              <w:contextualSpacing/>
              <w:rPr>
                <w:sz w:val="20"/>
                <w:szCs w:val="20"/>
              </w:rPr>
            </w:pPr>
            <w:r>
              <w:rPr>
                <w:sz w:val="20"/>
                <w:szCs w:val="20"/>
                <w:lang w:val="de-DE"/>
              </w:rPr>
              <w:t xml:space="preserve">Verfassen </w:t>
            </w:r>
            <w:r>
              <w:rPr>
                <w:sz w:val="20"/>
                <w:szCs w:val="20"/>
                <w:lang w:val="de-DE"/>
              </w:rPr>
              <w:t>des</w:t>
            </w:r>
            <w:r>
              <w:rPr>
                <w:sz w:val="20"/>
                <w:szCs w:val="20"/>
                <w:lang w:val="de-DE"/>
              </w:rPr>
              <w:t xml:space="preserve"> Abschlussberichtes</w:t>
            </w:r>
          </w:p>
        </w:tc>
        <w:tc>
          <w:tcPr>
            <w:tcW w:w="2286" w:type="dxa"/>
            <w:tcBorders/>
            <w:shd w:fill="auto" w:val="clear"/>
            <w:tcMar>
              <w:left w:w="108" w:type="dxa"/>
            </w:tcMar>
          </w:tcPr>
          <w:p>
            <w:pPr>
              <w:pStyle w:val="Normal"/>
              <w:spacing w:before="0" w:after="120"/>
              <w:jc w:val="both"/>
              <w:rPr>
                <w:sz w:val="20"/>
                <w:szCs w:val="20"/>
              </w:rPr>
            </w:pPr>
            <w:r>
              <w:rPr>
                <w:sz w:val="20"/>
                <w:szCs w:val="20"/>
                <w:lang w:val="de-DE"/>
              </w:rPr>
              <w:t>1. - 31. Oktober</w:t>
            </w:r>
          </w:p>
        </w:tc>
      </w:tr>
    </w:tbl>
    <w:p>
      <w:pPr>
        <w:pStyle w:val="Normal"/>
        <w:spacing w:before="0" w:after="120"/>
        <w:jc w:val="both"/>
        <w:rPr>
          <w:lang w:val="de-DE"/>
        </w:rPr>
      </w:pPr>
      <w:r>
        <w:rPr>
          <w:lang w:val="de-DE"/>
        </w:rPr>
      </w:r>
    </w:p>
    <w:p>
      <w:pPr>
        <w:pStyle w:val="Normal"/>
        <w:spacing w:before="0" w:after="120"/>
        <w:jc w:val="both"/>
        <w:rPr>
          <w:lang w:val="de-DE"/>
        </w:rPr>
      </w:pPr>
      <w:r>
        <w:rPr/>
      </w:r>
    </w:p>
    <w:p>
      <w:pPr>
        <w:pStyle w:val="Normal"/>
        <w:spacing w:before="0" w:after="120"/>
        <w:jc w:val="both"/>
        <w:rPr>
          <w:b/>
          <w:b/>
          <w:bCs/>
        </w:rPr>
      </w:pPr>
      <w:r>
        <w:rPr>
          <w:b/>
          <w:bCs/>
          <w:lang w:val="de-DE"/>
        </w:rPr>
        <w:t>MURGAENGE IN 2018</w:t>
      </w:r>
    </w:p>
    <w:p>
      <w:pPr>
        <w:pStyle w:val="Normal"/>
        <w:spacing w:before="0" w:after="120"/>
        <w:jc w:val="both"/>
        <w:rPr/>
      </w:pPr>
      <w:r>
        <w:rPr>
          <w:lang w:val="de-DE"/>
        </w:rPr>
        <w:t>Letztes Jahr drei grosse Ereignisse, dieses eher trocken, darum weniger Ereignisse</w:t>
      </w:r>
    </w:p>
    <w:p>
      <w:pPr>
        <w:pStyle w:val="Normal"/>
        <w:spacing w:before="0" w:after="120"/>
        <w:jc w:val="both"/>
        <w:rPr/>
      </w:pPr>
      <w:r>
        <w:rPr>
          <w:lang w:val="de-DE"/>
        </w:rPr>
        <w:t>4 Ereignisse (Zeiten, Groesse, Art), Volumen im Vergleich zu sonst:</w:t>
      </w:r>
    </w:p>
    <w:p>
      <w:pPr>
        <w:pStyle w:val="Normal"/>
        <w:spacing w:before="0" w:after="120"/>
        <w:jc w:val="both"/>
        <w:rPr/>
      </w:pPr>
      <w:r>
        <w:rPr>
          <w:lang w:val="de-DE"/>
        </w:rPr>
        <w:t>2 Murgaenge, 2 Schlammfluten, s. Bilder</w:t>
      </w:r>
    </w:p>
    <w:p>
      <w:pPr>
        <w:pStyle w:val="Normal"/>
        <w:spacing w:before="0" w:after="120"/>
        <w:jc w:val="both"/>
        <w:rPr>
          <w:lang w:val="de-DE"/>
        </w:rPr>
      </w:pPr>
      <w:r>
        <w:rPr/>
      </w:r>
    </w:p>
    <w:p>
      <w:pPr>
        <w:pStyle w:val="Normal"/>
        <w:spacing w:before="0" w:after="120"/>
        <w:jc w:val="both"/>
        <w:rPr>
          <w:lang w:val="de-DE"/>
        </w:rPr>
      </w:pPr>
      <w:r>
        <w:rPr/>
      </w:r>
    </w:p>
    <w:p>
      <w:pPr>
        <w:pStyle w:val="Normal"/>
        <w:spacing w:before="0" w:after="120"/>
        <w:jc w:val="both"/>
        <w:rPr>
          <w:lang w:val="de-DE"/>
        </w:rPr>
      </w:pPr>
      <w:r>
        <w:rPr/>
      </w:r>
    </w:p>
    <w:p>
      <w:pPr>
        <w:pStyle w:val="Normal"/>
        <w:spacing w:before="0" w:after="120"/>
        <w:jc w:val="both"/>
        <w:rPr>
          <w:lang w:val="de-DE"/>
        </w:rPr>
      </w:pPr>
      <w:r>
        <w:rPr/>
      </w:r>
    </w:p>
    <w:p>
      <w:pPr>
        <w:pStyle w:val="Normal"/>
        <w:spacing w:before="0" w:after="120"/>
        <w:jc w:val="both"/>
        <w:rPr>
          <w:lang w:val="de-DE"/>
        </w:rPr>
      </w:pPr>
      <w:r>
        <w:rPr/>
      </w:r>
    </w:p>
    <w:p>
      <w:pPr>
        <w:pStyle w:val="Normal"/>
        <w:spacing w:before="0" w:after="120"/>
        <w:jc w:val="both"/>
        <w:rPr>
          <w:lang w:val="de-DE"/>
        </w:rPr>
      </w:pPr>
      <w:r>
        <w:rPr/>
      </w:r>
    </w:p>
    <w:p>
      <w:pPr>
        <w:pStyle w:val="Normal"/>
        <w:spacing w:before="0" w:after="120"/>
        <w:jc w:val="both"/>
        <w:rPr/>
      </w:pPr>
      <w:r>
        <w:rPr>
          <w:lang w:val="de-DE"/>
        </w:rPr>
        <w:t>Tabelle 1: Liste der 2018 Flutergeignisse und Murgaenge am Illgraben. Herkömmliche Detektion am Check Dam 1 (CD 1) geschieht mittels Geophonplatten. Volumen und Geschwindigkeit werden nach der Methode von *** abgeschaetzt. Die seismische Amplitude wurde von den Murganseismogrammen bei ILL12 abgelesen.</w:t>
      </w:r>
    </w:p>
    <w:tbl>
      <w:tblPr>
        <w:tblStyle w:val="TableGrid"/>
        <w:tblW w:w="7646" w:type="dxa"/>
        <w:jc w:val="center"/>
        <w:tblInd w:w="0" w:type="dxa"/>
        <w:tblCellMar>
          <w:top w:w="0" w:type="dxa"/>
          <w:left w:w="108" w:type="dxa"/>
          <w:bottom w:w="0" w:type="dxa"/>
          <w:right w:w="108" w:type="dxa"/>
        </w:tblCellMar>
        <w:tblLook w:val="04a0" w:noVBand="1" w:noHBand="0" w:lastColumn="0" w:firstColumn="1" w:lastRow="0" w:firstRow="1"/>
      </w:tblPr>
      <w:tblGrid>
        <w:gridCol w:w="1358"/>
        <w:gridCol w:w="1886"/>
        <w:gridCol w:w="1162"/>
        <w:gridCol w:w="1350"/>
        <w:gridCol w:w="1890"/>
      </w:tblGrid>
      <w:tr>
        <w:trPr>
          <w:tblHeader w:val="true"/>
        </w:trPr>
        <w:tc>
          <w:tcPr>
            <w:tcW w:w="1358" w:type="dxa"/>
            <w:tcBorders>
              <w:top w:val="nil"/>
              <w:right w:val="nil"/>
              <w:insideV w:val="nil"/>
            </w:tcBorders>
            <w:shd w:color="auto" w:fill="auto" w:val="pct12"/>
            <w:tcMar>
              <w:left w:w="108" w:type="dxa"/>
            </w:tcMar>
          </w:tcPr>
          <w:p>
            <w:pPr>
              <w:pStyle w:val="Normal"/>
              <w:keepNext/>
              <w:spacing w:before="0" w:after="120"/>
              <w:jc w:val="center"/>
              <w:rPr>
                <w:sz w:val="20"/>
                <w:szCs w:val="20"/>
              </w:rPr>
            </w:pPr>
            <w:r>
              <w:rPr>
                <w:sz w:val="20"/>
                <w:szCs w:val="20"/>
              </w:rPr>
              <w:t>Datum</w:t>
            </w:r>
          </w:p>
        </w:tc>
        <w:tc>
          <w:tcPr>
            <w:tcW w:w="1886" w:type="dxa"/>
            <w:tcBorders>
              <w:top w:val="nil"/>
            </w:tcBorders>
            <w:shd w:color="auto" w:fill="auto" w:val="pct12"/>
            <w:tcMar>
              <w:left w:w="108" w:type="dxa"/>
            </w:tcMar>
          </w:tcPr>
          <w:p>
            <w:pPr>
              <w:pStyle w:val="Normal"/>
              <w:spacing w:before="0" w:after="120"/>
              <w:jc w:val="center"/>
              <w:rPr>
                <w:sz w:val="20"/>
                <w:szCs w:val="20"/>
              </w:rPr>
            </w:pPr>
            <w:r>
              <w:rPr>
                <w:sz w:val="20"/>
                <w:szCs w:val="20"/>
                <w:lang w:val="de-DE"/>
              </w:rPr>
              <w:t xml:space="preserve">CD1 Detektionszeit </w:t>
            </w:r>
          </w:p>
          <w:p>
            <w:pPr>
              <w:pStyle w:val="Normal"/>
              <w:spacing w:before="0" w:after="120"/>
              <w:jc w:val="center"/>
              <w:rPr>
                <w:sz w:val="20"/>
                <w:szCs w:val="20"/>
              </w:rPr>
            </w:pPr>
            <w:r>
              <w:rPr>
                <w:sz w:val="20"/>
                <w:szCs w:val="20"/>
                <w:lang w:val="de-DE"/>
              </w:rPr>
              <w:t xml:space="preserve"> </w:t>
            </w:r>
            <w:r>
              <w:rPr>
                <w:sz w:val="20"/>
                <w:szCs w:val="20"/>
                <w:lang w:val="de-DE"/>
              </w:rPr>
              <w:t>(UTC)</w:t>
            </w:r>
          </w:p>
        </w:tc>
        <w:tc>
          <w:tcPr>
            <w:tcW w:w="1162" w:type="dxa"/>
            <w:tcBorders>
              <w:top w:val="nil"/>
              <w:right w:val="nil"/>
              <w:insideV w:val="nil"/>
            </w:tcBorders>
            <w:shd w:color="auto" w:fill="auto" w:val="pct12"/>
            <w:tcMar>
              <w:left w:w="108" w:type="dxa"/>
            </w:tcMar>
          </w:tcPr>
          <w:p>
            <w:pPr>
              <w:pStyle w:val="Normal"/>
              <w:spacing w:before="0" w:after="120"/>
              <w:jc w:val="center"/>
              <w:rPr>
                <w:sz w:val="20"/>
                <w:szCs w:val="20"/>
              </w:rPr>
            </w:pPr>
            <w:r>
              <w:rPr>
                <w:sz w:val="20"/>
                <w:szCs w:val="20"/>
                <w:lang w:val="de-DE"/>
              </w:rPr>
              <w:t>Volumen</w:t>
            </w:r>
          </w:p>
          <w:p>
            <w:pPr>
              <w:pStyle w:val="Normal"/>
              <w:spacing w:before="0" w:after="120"/>
              <w:jc w:val="center"/>
              <w:rPr>
                <w:sz w:val="20"/>
                <w:szCs w:val="20"/>
              </w:rPr>
            </w:pPr>
            <w:r>
              <w:rPr>
                <w:sz w:val="20"/>
                <w:szCs w:val="20"/>
                <w:lang w:val="de-DE"/>
              </w:rPr>
              <w:t>(m</w:t>
            </w:r>
            <w:r>
              <w:rPr>
                <w:sz w:val="20"/>
                <w:szCs w:val="20"/>
                <w:u w:val="none"/>
                <w:vertAlign w:val="superscript"/>
                <w:lang w:val="de-DE"/>
              </w:rPr>
              <w:t>3</w:t>
            </w:r>
            <w:r>
              <w:rPr>
                <w:sz w:val="20"/>
                <w:szCs w:val="20"/>
                <w:lang w:val="de-DE"/>
              </w:rPr>
              <w:t>)</w:t>
            </w:r>
          </w:p>
        </w:tc>
        <w:tc>
          <w:tcPr>
            <w:tcW w:w="1350" w:type="dxa"/>
            <w:tcBorders>
              <w:top w:val="nil"/>
              <w:right w:val="nil"/>
              <w:insideV w:val="nil"/>
            </w:tcBorders>
            <w:shd w:color="auto" w:fill="auto" w:val="pct12"/>
            <w:tcMar>
              <w:left w:w="108" w:type="dxa"/>
            </w:tcMar>
          </w:tcPr>
          <w:p>
            <w:pPr>
              <w:pStyle w:val="Normal"/>
              <w:spacing w:before="0" w:after="120"/>
              <w:jc w:val="both"/>
              <w:rPr>
                <w:sz w:val="20"/>
                <w:szCs w:val="20"/>
              </w:rPr>
            </w:pPr>
            <w:r>
              <w:rPr>
                <w:sz w:val="20"/>
                <w:szCs w:val="20"/>
              </w:rPr>
              <w:t>Geschwindig</w:t>
            </w:r>
            <w:r>
              <w:rPr>
                <w:sz w:val="20"/>
                <w:szCs w:val="20"/>
              </w:rPr>
              <w:t>-</w:t>
            </w:r>
            <w:r>
              <w:rPr>
                <w:sz w:val="20"/>
                <w:szCs w:val="20"/>
              </w:rPr>
              <w:t>keit (m/s)</w:t>
            </w:r>
          </w:p>
        </w:tc>
        <w:tc>
          <w:tcPr>
            <w:tcW w:w="1890" w:type="dxa"/>
            <w:tcBorders>
              <w:top w:val="nil"/>
            </w:tcBorders>
            <w:shd w:color="auto" w:fill="auto" w:val="pct12"/>
            <w:tcMar>
              <w:left w:w="108" w:type="dxa"/>
            </w:tcMar>
          </w:tcPr>
          <w:p>
            <w:pPr>
              <w:pStyle w:val="Normal"/>
              <w:spacing w:before="0" w:after="120"/>
              <w:jc w:val="center"/>
              <w:rPr>
                <w:sz w:val="20"/>
                <w:szCs w:val="20"/>
              </w:rPr>
            </w:pPr>
            <w:r>
              <w:rPr>
                <w:sz w:val="20"/>
                <w:szCs w:val="20"/>
              </w:rPr>
              <w:t>Max. seism. Amplitude bei ILL12 (counts)</w:t>
            </w:r>
          </w:p>
        </w:tc>
      </w:tr>
      <w:tr>
        <w:trPr/>
        <w:tc>
          <w:tcPr>
            <w:tcW w:w="1358" w:type="dxa"/>
            <w:tcBorders>
              <w:right w:val="nil"/>
              <w:insideV w:val="nil"/>
            </w:tcBorders>
            <w:shd w:fill="auto" w:val="clear"/>
            <w:tcMar>
              <w:left w:w="108" w:type="dxa"/>
            </w:tcMar>
          </w:tcPr>
          <w:p>
            <w:pPr>
              <w:pStyle w:val="MainText"/>
              <w:keepNext/>
              <w:spacing w:lineRule="auto" w:line="240" w:before="0" w:after="0"/>
              <w:ind w:right="-28" w:hanging="0"/>
              <w:jc w:val="center"/>
              <w:rPr>
                <w:sz w:val="20"/>
                <w:szCs w:val="20"/>
              </w:rPr>
            </w:pPr>
            <w:r>
              <w:rPr>
                <w:sz w:val="20"/>
                <w:szCs w:val="20"/>
              </w:rPr>
              <w:t>2018-06-11</w:t>
            </w:r>
          </w:p>
        </w:tc>
        <w:tc>
          <w:tcPr>
            <w:tcW w:w="1886" w:type="dxa"/>
            <w:tcBorders/>
            <w:shd w:fill="auto" w:val="clear"/>
            <w:tcMar>
              <w:left w:w="108" w:type="dxa"/>
            </w:tcMar>
          </w:tcPr>
          <w:p>
            <w:pPr>
              <w:pStyle w:val="MainText"/>
              <w:spacing w:lineRule="auto" w:line="240" w:before="0" w:after="0"/>
              <w:ind w:right="-28" w:hanging="0"/>
              <w:jc w:val="center"/>
              <w:rPr>
                <w:sz w:val="20"/>
                <w:szCs w:val="20"/>
              </w:rPr>
            </w:pPr>
            <w:r>
              <w:rPr>
                <w:sz w:val="20"/>
                <w:szCs w:val="20"/>
                <w:lang w:val="de-DE"/>
              </w:rPr>
              <w:t>10:46:39</w:t>
            </w:r>
          </w:p>
        </w:tc>
        <w:tc>
          <w:tcPr>
            <w:tcW w:w="1162" w:type="dxa"/>
            <w:tcBorders>
              <w:right w:val="nil"/>
              <w:insideV w:val="nil"/>
            </w:tcBorders>
            <w:shd w:fill="auto" w:val="clear"/>
            <w:tcMar>
              <w:left w:w="108" w:type="dxa"/>
            </w:tcMar>
          </w:tcPr>
          <w:p>
            <w:pPr>
              <w:pStyle w:val="Normal"/>
              <w:spacing w:before="0" w:after="120"/>
              <w:jc w:val="both"/>
              <w:rPr>
                <w:lang w:val="de-DE"/>
              </w:rPr>
            </w:pPr>
            <w:r>
              <w:rPr>
                <w:sz w:val="20"/>
                <w:szCs w:val="20"/>
              </w:rPr>
            </w:r>
          </w:p>
        </w:tc>
        <w:tc>
          <w:tcPr>
            <w:tcW w:w="1350" w:type="dxa"/>
            <w:tcBorders>
              <w:right w:val="nil"/>
              <w:insideV w:val="nil"/>
            </w:tcBorders>
            <w:shd w:fill="auto" w:val="clear"/>
            <w:tcMar>
              <w:left w:w="108" w:type="dxa"/>
            </w:tcMar>
          </w:tcPr>
          <w:p>
            <w:pPr>
              <w:pStyle w:val="Normal"/>
              <w:spacing w:before="0" w:after="120"/>
              <w:jc w:val="both"/>
              <w:rPr>
                <w:sz w:val="20"/>
                <w:szCs w:val="20"/>
              </w:rPr>
            </w:pPr>
            <w:r>
              <w:rPr>
                <w:sz w:val="20"/>
                <w:szCs w:val="20"/>
              </w:rPr>
            </w:r>
          </w:p>
        </w:tc>
        <w:tc>
          <w:tcPr>
            <w:tcW w:w="1890" w:type="dxa"/>
            <w:tcBorders/>
            <w:shd w:fill="auto" w:val="clear"/>
            <w:tcMar>
              <w:left w:w="108" w:type="dxa"/>
            </w:tcMar>
          </w:tcPr>
          <w:p>
            <w:pPr>
              <w:pStyle w:val="Normal"/>
              <w:spacing w:before="0" w:after="120"/>
              <w:jc w:val="center"/>
              <w:rPr>
                <w:sz w:val="20"/>
                <w:szCs w:val="20"/>
              </w:rPr>
            </w:pPr>
            <w:r>
              <w:rPr>
                <w:sz w:val="20"/>
                <w:szCs w:val="20"/>
              </w:rPr>
              <w:t>215</w:t>
            </w:r>
          </w:p>
        </w:tc>
      </w:tr>
      <w:tr>
        <w:trPr/>
        <w:tc>
          <w:tcPr>
            <w:tcW w:w="1358" w:type="dxa"/>
            <w:tcBorders>
              <w:right w:val="nil"/>
              <w:insideV w:val="nil"/>
            </w:tcBorders>
            <w:shd w:fill="auto" w:val="clear"/>
            <w:tcMar>
              <w:left w:w="108" w:type="dxa"/>
            </w:tcMar>
          </w:tcPr>
          <w:p>
            <w:pPr>
              <w:pStyle w:val="MainText"/>
              <w:keepNext/>
              <w:numPr>
                <w:ilvl w:val="0"/>
                <w:numId w:val="0"/>
              </w:numPr>
              <w:spacing w:lineRule="auto" w:line="240" w:before="0" w:after="0"/>
              <w:ind w:left="360" w:right="-28" w:hanging="0"/>
              <w:jc w:val="center"/>
              <w:rPr>
                <w:sz w:val="20"/>
                <w:szCs w:val="20"/>
              </w:rPr>
            </w:pPr>
            <w:r>
              <w:rPr>
                <w:sz w:val="20"/>
                <w:szCs w:val="20"/>
              </w:rPr>
              <w:t>2018-06-12</w:t>
            </w:r>
          </w:p>
        </w:tc>
        <w:tc>
          <w:tcPr>
            <w:tcW w:w="1886" w:type="dxa"/>
            <w:tcBorders/>
            <w:shd w:fill="auto" w:val="clear"/>
            <w:tcMar>
              <w:left w:w="108" w:type="dxa"/>
            </w:tcMar>
          </w:tcPr>
          <w:p>
            <w:pPr>
              <w:pStyle w:val="MainText"/>
              <w:numPr>
                <w:ilvl w:val="0"/>
                <w:numId w:val="0"/>
              </w:numPr>
              <w:spacing w:lineRule="auto" w:line="240" w:before="0" w:after="0"/>
              <w:ind w:left="360" w:right="-28" w:hanging="0"/>
              <w:jc w:val="center"/>
              <w:rPr>
                <w:sz w:val="20"/>
                <w:szCs w:val="20"/>
              </w:rPr>
            </w:pPr>
            <w:r>
              <w:rPr>
                <w:sz w:val="20"/>
                <w:szCs w:val="20"/>
                <w:lang w:val="de-DE"/>
              </w:rPr>
              <w:t>18:29:16</w:t>
            </w:r>
          </w:p>
        </w:tc>
        <w:tc>
          <w:tcPr>
            <w:tcW w:w="1162" w:type="dxa"/>
            <w:tcBorders>
              <w:right w:val="nil"/>
              <w:insideV w:val="nil"/>
            </w:tcBorders>
            <w:shd w:fill="auto" w:val="clear"/>
            <w:tcMar>
              <w:left w:w="108" w:type="dxa"/>
            </w:tcMar>
          </w:tcPr>
          <w:p>
            <w:pPr>
              <w:pStyle w:val="Normal"/>
              <w:spacing w:before="0" w:after="120"/>
              <w:jc w:val="both"/>
              <w:rPr>
                <w:lang w:val="de-DE"/>
              </w:rPr>
            </w:pPr>
            <w:r>
              <w:rPr>
                <w:sz w:val="20"/>
                <w:szCs w:val="20"/>
              </w:rPr>
            </w:r>
          </w:p>
        </w:tc>
        <w:tc>
          <w:tcPr>
            <w:tcW w:w="1350" w:type="dxa"/>
            <w:tcBorders>
              <w:right w:val="nil"/>
              <w:insideV w:val="nil"/>
            </w:tcBorders>
            <w:shd w:fill="auto" w:val="clear"/>
            <w:tcMar>
              <w:left w:w="108" w:type="dxa"/>
            </w:tcMar>
          </w:tcPr>
          <w:p>
            <w:pPr>
              <w:pStyle w:val="Normal"/>
              <w:spacing w:before="0" w:after="120"/>
              <w:jc w:val="both"/>
              <w:rPr>
                <w:sz w:val="20"/>
                <w:szCs w:val="20"/>
              </w:rPr>
            </w:pPr>
            <w:r>
              <w:rPr>
                <w:sz w:val="20"/>
                <w:szCs w:val="20"/>
              </w:rPr>
            </w:r>
          </w:p>
        </w:tc>
        <w:tc>
          <w:tcPr>
            <w:tcW w:w="1890" w:type="dxa"/>
            <w:tcBorders/>
            <w:shd w:fill="auto" w:val="clear"/>
            <w:tcMar>
              <w:left w:w="108" w:type="dxa"/>
            </w:tcMar>
          </w:tcPr>
          <w:p>
            <w:pPr>
              <w:pStyle w:val="Normal"/>
              <w:spacing w:before="0" w:after="120"/>
              <w:jc w:val="center"/>
              <w:rPr>
                <w:sz w:val="20"/>
                <w:szCs w:val="20"/>
              </w:rPr>
            </w:pPr>
            <w:r>
              <w:rPr>
                <w:sz w:val="20"/>
                <w:szCs w:val="20"/>
              </w:rPr>
              <w:t>122</w:t>
            </w:r>
          </w:p>
        </w:tc>
      </w:tr>
      <w:tr>
        <w:trPr/>
        <w:tc>
          <w:tcPr>
            <w:tcW w:w="1358" w:type="dxa"/>
            <w:tcBorders>
              <w:right w:val="nil"/>
              <w:insideV w:val="nil"/>
            </w:tcBorders>
            <w:shd w:fill="auto" w:val="clear"/>
            <w:tcMar>
              <w:left w:w="108" w:type="dxa"/>
            </w:tcMar>
          </w:tcPr>
          <w:p>
            <w:pPr>
              <w:pStyle w:val="MainText"/>
              <w:keepNext/>
              <w:spacing w:lineRule="auto" w:line="240" w:before="0" w:after="0"/>
              <w:ind w:right="-28" w:hanging="0"/>
              <w:jc w:val="center"/>
              <w:rPr>
                <w:sz w:val="20"/>
                <w:szCs w:val="20"/>
              </w:rPr>
            </w:pPr>
            <w:r>
              <w:rPr>
                <w:sz w:val="20"/>
                <w:szCs w:val="20"/>
              </w:rPr>
              <w:t>2018-07-25</w:t>
            </w:r>
          </w:p>
        </w:tc>
        <w:tc>
          <w:tcPr>
            <w:tcW w:w="1886" w:type="dxa"/>
            <w:tcBorders/>
            <w:shd w:fill="auto" w:val="clear"/>
            <w:tcMar>
              <w:left w:w="108" w:type="dxa"/>
            </w:tcMar>
          </w:tcPr>
          <w:p>
            <w:pPr>
              <w:pStyle w:val="MainText"/>
              <w:spacing w:lineRule="auto" w:line="240" w:before="0" w:after="0"/>
              <w:ind w:right="-28" w:hanging="0"/>
              <w:jc w:val="center"/>
              <w:rPr>
                <w:sz w:val="20"/>
                <w:szCs w:val="20"/>
              </w:rPr>
            </w:pPr>
            <w:r>
              <w:rPr>
                <w:sz w:val="20"/>
                <w:szCs w:val="20"/>
                <w:lang w:val="de-DE"/>
              </w:rPr>
              <w:t>16:56:40</w:t>
            </w:r>
          </w:p>
        </w:tc>
        <w:tc>
          <w:tcPr>
            <w:tcW w:w="1162" w:type="dxa"/>
            <w:tcBorders>
              <w:right w:val="nil"/>
              <w:insideV w:val="nil"/>
            </w:tcBorders>
            <w:shd w:fill="auto" w:val="clear"/>
            <w:tcMar>
              <w:left w:w="108" w:type="dxa"/>
            </w:tcMar>
          </w:tcPr>
          <w:p>
            <w:pPr>
              <w:pStyle w:val="Normal"/>
              <w:spacing w:before="0" w:after="120"/>
              <w:jc w:val="both"/>
              <w:rPr>
                <w:sz w:val="20"/>
                <w:szCs w:val="20"/>
              </w:rPr>
            </w:pPr>
            <w:r>
              <w:rPr>
                <w:sz w:val="20"/>
                <w:szCs w:val="20"/>
                <w:lang w:val="de-DE"/>
              </w:rPr>
              <w:t xml:space="preserve"> </w:t>
            </w:r>
          </w:p>
        </w:tc>
        <w:tc>
          <w:tcPr>
            <w:tcW w:w="1350" w:type="dxa"/>
            <w:tcBorders>
              <w:right w:val="nil"/>
              <w:insideV w:val="nil"/>
            </w:tcBorders>
            <w:shd w:fill="auto" w:val="clear"/>
            <w:tcMar>
              <w:left w:w="108" w:type="dxa"/>
            </w:tcMar>
          </w:tcPr>
          <w:p>
            <w:pPr>
              <w:pStyle w:val="MainText"/>
              <w:spacing w:lineRule="auto" w:line="240" w:before="0" w:after="0"/>
              <w:ind w:right="-28" w:hanging="0"/>
              <w:jc w:val="center"/>
              <w:rPr>
                <w:sz w:val="20"/>
                <w:szCs w:val="20"/>
              </w:rPr>
            </w:pPr>
            <w:r>
              <w:rPr>
                <w:sz w:val="20"/>
                <w:szCs w:val="20"/>
              </w:rPr>
              <w:t>4.</w:t>
            </w:r>
            <w:r>
              <w:rPr>
                <w:sz w:val="20"/>
                <w:szCs w:val="20"/>
              </w:rPr>
              <w:t>7</w:t>
            </w:r>
          </w:p>
        </w:tc>
        <w:tc>
          <w:tcPr>
            <w:tcW w:w="1890" w:type="dxa"/>
            <w:tcBorders/>
            <w:shd w:fill="auto" w:val="clear"/>
            <w:tcMar>
              <w:left w:w="108" w:type="dxa"/>
            </w:tcMar>
          </w:tcPr>
          <w:p>
            <w:pPr>
              <w:pStyle w:val="MainText"/>
              <w:spacing w:lineRule="auto" w:line="240" w:before="0" w:after="0"/>
              <w:ind w:right="-28" w:hanging="0"/>
              <w:jc w:val="center"/>
              <w:rPr>
                <w:sz w:val="20"/>
                <w:szCs w:val="20"/>
              </w:rPr>
            </w:pPr>
            <w:r>
              <w:rPr>
                <w:sz w:val="20"/>
                <w:szCs w:val="20"/>
              </w:rPr>
              <w:t>2000</w:t>
            </w:r>
          </w:p>
        </w:tc>
      </w:tr>
      <w:tr>
        <w:trPr/>
        <w:tc>
          <w:tcPr>
            <w:tcW w:w="1358" w:type="dxa"/>
            <w:tcBorders>
              <w:right w:val="nil"/>
              <w:insideV w:val="nil"/>
            </w:tcBorders>
            <w:shd w:fill="auto" w:val="clear"/>
            <w:tcMar>
              <w:left w:w="108" w:type="dxa"/>
            </w:tcMar>
          </w:tcPr>
          <w:p>
            <w:pPr>
              <w:pStyle w:val="MainText"/>
              <w:keepNext/>
              <w:spacing w:lineRule="auto" w:line="240" w:before="0" w:after="0"/>
              <w:ind w:right="-28" w:hanging="0"/>
              <w:jc w:val="center"/>
              <w:rPr>
                <w:sz w:val="20"/>
                <w:szCs w:val="20"/>
              </w:rPr>
            </w:pPr>
            <w:r>
              <w:rPr>
                <w:sz w:val="20"/>
                <w:szCs w:val="20"/>
              </w:rPr>
              <w:t>2018-08-08</w:t>
            </w:r>
          </w:p>
        </w:tc>
        <w:tc>
          <w:tcPr>
            <w:tcW w:w="1886" w:type="dxa"/>
            <w:tcBorders/>
            <w:shd w:fill="auto" w:val="clear"/>
            <w:tcMar>
              <w:left w:w="108" w:type="dxa"/>
            </w:tcMar>
          </w:tcPr>
          <w:p>
            <w:pPr>
              <w:pStyle w:val="Normal"/>
              <w:spacing w:before="0" w:after="120"/>
              <w:jc w:val="center"/>
              <w:rPr>
                <w:sz w:val="20"/>
                <w:szCs w:val="20"/>
              </w:rPr>
            </w:pPr>
            <w:r>
              <w:rPr>
                <w:sz w:val="20"/>
                <w:szCs w:val="20"/>
                <w:lang w:val="de-DE"/>
              </w:rPr>
              <w:t xml:space="preserve"> </w:t>
            </w:r>
            <w:r>
              <w:rPr>
                <w:sz w:val="20"/>
                <w:szCs w:val="20"/>
                <w:lang w:val="de-DE"/>
              </w:rPr>
              <w:t>17:49:25</w:t>
            </w:r>
          </w:p>
        </w:tc>
        <w:tc>
          <w:tcPr>
            <w:tcW w:w="1162" w:type="dxa"/>
            <w:tcBorders>
              <w:right w:val="nil"/>
              <w:insideV w:val="nil"/>
            </w:tcBorders>
            <w:shd w:fill="auto" w:val="clear"/>
            <w:tcMar>
              <w:left w:w="108" w:type="dxa"/>
            </w:tcMar>
          </w:tcPr>
          <w:p>
            <w:pPr>
              <w:pStyle w:val="Normal"/>
              <w:spacing w:before="0" w:after="120"/>
              <w:jc w:val="both"/>
              <w:rPr>
                <w:lang w:val="de-DE"/>
              </w:rPr>
            </w:pPr>
            <w:r>
              <w:rPr>
                <w:sz w:val="20"/>
                <w:szCs w:val="20"/>
              </w:rPr>
            </w:r>
          </w:p>
        </w:tc>
        <w:tc>
          <w:tcPr>
            <w:tcW w:w="1350" w:type="dxa"/>
            <w:tcBorders>
              <w:right w:val="nil"/>
              <w:insideV w:val="nil"/>
            </w:tcBorders>
            <w:shd w:fill="auto" w:val="clear"/>
            <w:tcMar>
              <w:left w:w="108" w:type="dxa"/>
            </w:tcMar>
          </w:tcPr>
          <w:p>
            <w:pPr>
              <w:pStyle w:val="MainText"/>
              <w:spacing w:lineRule="auto" w:line="240" w:before="0" w:after="0"/>
              <w:ind w:right="-28" w:hanging="0"/>
              <w:jc w:val="center"/>
              <w:rPr>
                <w:sz w:val="20"/>
                <w:szCs w:val="20"/>
              </w:rPr>
            </w:pPr>
            <w:r>
              <w:rPr>
                <w:sz w:val="20"/>
                <w:szCs w:val="20"/>
              </w:rPr>
              <w:t>6.7</w:t>
            </w:r>
          </w:p>
        </w:tc>
        <w:tc>
          <w:tcPr>
            <w:tcW w:w="1890" w:type="dxa"/>
            <w:tcBorders/>
            <w:shd w:fill="auto" w:val="clear"/>
            <w:tcMar>
              <w:left w:w="108" w:type="dxa"/>
            </w:tcMar>
          </w:tcPr>
          <w:p>
            <w:pPr>
              <w:pStyle w:val="MainText"/>
              <w:spacing w:lineRule="auto" w:line="240" w:before="0" w:after="0"/>
              <w:ind w:right="-28" w:hanging="0"/>
              <w:jc w:val="center"/>
              <w:rPr>
                <w:sz w:val="20"/>
                <w:szCs w:val="20"/>
              </w:rPr>
            </w:pPr>
            <w:r>
              <w:rPr>
                <w:sz w:val="20"/>
                <w:szCs w:val="20"/>
              </w:rPr>
              <w:t>2400</w:t>
            </w:r>
          </w:p>
        </w:tc>
      </w:tr>
    </w:tbl>
    <w:p>
      <w:pPr>
        <w:pStyle w:val="Table"/>
        <w:rPr/>
      </w:pPr>
      <w:r>
        <w:rPr/>
      </w:r>
    </w:p>
    <w:p>
      <w:pPr>
        <w:pStyle w:val="Normal"/>
        <w:spacing w:before="0" w:after="120"/>
        <w:jc w:val="both"/>
        <w:rPr/>
      </w:pPr>
      <w:r>
        <w:rPr>
          <w:b/>
          <w:bCs/>
          <w:lang w:val="de-DE"/>
        </w:rPr>
        <w:t>SEISMOLOGISCHER DETEKTIONSALGORITHMU</w:t>
      </w:r>
      <w:r>
        <w:rPr>
          <w:b/>
          <w:bCs/>
          <w:lang w:val="de-DE"/>
        </w:rPr>
        <w:t>S</w:t>
      </w:r>
    </w:p>
    <w:p>
      <w:pPr>
        <w:pStyle w:val="Normal"/>
        <w:spacing w:before="0" w:after="120"/>
        <w:jc w:val="both"/>
        <w:rPr>
          <w:b w:val="false"/>
          <w:b w:val="false"/>
          <w:bCs w:val="false"/>
        </w:rPr>
      </w:pPr>
      <w:r>
        <w:rPr>
          <w:b w:val="false"/>
          <w:bCs w:val="false"/>
          <w:lang w:val="de-DE"/>
        </w:rPr>
        <w:t xml:space="preserve">Aus früheren Studien ist bekannt, dass mit einem lokalen Seismometernetz wie in Abb. 1 die Murgaenge am Illgraben eindeutig aufgezeichnet werden (Burtin, Walter). Die Seismogramme halten bis zu 50 Minuten an und zeigen eine „Zigarrenform“ mit emergentem Einsatz und langsam ausklingendem Signalende (Abb ***). Zudem treten </w:t>
      </w:r>
      <w:r>
        <w:rPr>
          <w:b w:val="false"/>
          <w:bCs w:val="false"/>
          <w:lang w:val="de-DE"/>
        </w:rPr>
        <w:t>kürzere</w:t>
      </w:r>
      <w:r>
        <w:rPr>
          <w:b w:val="false"/>
          <w:bCs w:val="false"/>
          <w:lang w:val="de-DE"/>
        </w:rPr>
        <w:t xml:space="preserve">, impulsive  Signale, auf, die durch einzelne Steinschlaege, lokale Erdbeben, Donnerschallwellen oder anthropogenen Quellen erzeugt werden (Abb. ***). </w:t>
      </w:r>
      <w:r>
        <w:rPr>
          <w:b w:val="false"/>
          <w:bCs w:val="false"/>
          <w:lang w:val="de-DE"/>
        </w:rPr>
        <w:t>Die Staerke der seismischen Signale variiert stark zwischen den einzelnen Ereignissen, wobei die Signale der beiden Flutereignisse etwa eine Größenordnung schwächer sind als die der beiden Murgaenge.</w:t>
      </w:r>
    </w:p>
    <w:p>
      <w:pPr>
        <w:pStyle w:val="Normal"/>
        <w:spacing w:before="0" w:after="120"/>
        <w:jc w:val="both"/>
        <w:rPr/>
      </w:pPr>
      <w:r>
        <w:rPr>
          <w:lang w:val="de-DE"/>
        </w:rPr>
        <w:t xml:space="preserve">In Abbildung *** ist zu erkennen, dass die Murgangsignale bzw. deren Maxima zu unterschiedlichen Zeiten an unterschiedlichen Stationen aufgezeichnet werden. Das liegt daran, dass sich die seismogene Murgangfront mit unterschiedlichen Abstaenden zu den einzelnen Stationen durch das Netzwerk bewegt. Unter der Annahme einer theoretischen Abfallrate der seismischen Energie in Abhängigkeit zur Distanz kann man somit die Murgangfront lokalisieren, eine Methode, der als „Amplitude Source Location“ (ASL) bezeichnet wird (Walter et al., 2017). </w:t>
      </w:r>
    </w:p>
    <w:p>
      <w:pPr>
        <w:pStyle w:val="Normal"/>
        <w:spacing w:before="0" w:after="120"/>
        <w:jc w:val="both"/>
        <w:rPr/>
      </w:pPr>
      <w:r>
        <w:rPr>
          <w:lang w:val="de-DE"/>
        </w:rPr>
        <w:t xml:space="preserve">Für die Murganueberwachung wurde die ASL Methode praktisch in Echtzeit auf die kontinuierlich eintreffenden Datenströme angewendet. Effektive seismische Amplituden wurden ueber ein 20 Sekunden langes Fenster per quadratisches Mittel geschaetzt. Die 20 Sekunden sind lang genug, damit eine Rastersuche fuer die Lokalisierung mit den neusten Daten durchgefuehrt werden kann, die alle ca. 8 Sekunden von den SED Servern zur Verfügung gestellt werden. *** </w:t>
      </w:r>
      <w:r>
        <w:rPr>
          <w:lang w:val="de-DE"/>
        </w:rPr>
        <w:t>Filtern ***</w:t>
      </w:r>
    </w:p>
    <w:p>
      <w:pPr>
        <w:pStyle w:val="Normal"/>
        <w:spacing w:before="0" w:after="120"/>
        <w:jc w:val="both"/>
        <w:rPr/>
      </w:pPr>
      <w:r>
        <w:rPr>
          <w:lang w:val="de-DE"/>
        </w:rPr>
        <w:t>Im Falle eines Murganges wird die Quelle des eintreffenden Signals oben im Einzugsgebiet des Illgrabens lokalisiert und bewegt sich anschliessend Richtung Rhonetal (Walter et al, 2017). Andernfalls lokalisiert ASL anthropogene Quellen im Rhonetal nahe Leuk oder kann den im Netzwerk gemessenen seismischen Signalen keine Quelle eindeutig zuordnen.</w:t>
      </w:r>
    </w:p>
    <w:p>
      <w:pPr>
        <w:pStyle w:val="Normal"/>
        <w:spacing w:before="0" w:after="120"/>
        <w:jc w:val="both"/>
        <w:rPr/>
      </w:pPr>
      <w:r>
        <w:rPr>
          <w:lang w:val="de-DE"/>
        </w:rPr>
        <w:t xml:space="preserve">Die genaue Detektionsalgorithmus wurde mit Seismogrammen, die vor 2018 am Illgraben aufgezeichnet wurden geeicht. </w:t>
      </w:r>
      <w:r>
        <w:rPr>
          <w:lang w:val="de-DE"/>
        </w:rPr>
        <w:t>Für</w:t>
      </w:r>
      <w:r>
        <w:rPr>
          <w:lang w:val="de-DE"/>
        </w:rPr>
        <w:t xml:space="preserve"> eine Detektion </w:t>
      </w:r>
      <w:r>
        <w:rPr>
          <w:lang w:val="de-DE"/>
        </w:rPr>
        <w:t>müssen</w:t>
      </w:r>
      <w:r>
        <w:rPr>
          <w:lang w:val="de-DE"/>
        </w:rPr>
        <w:t xml:space="preserve"> folgende Bedingungen </w:t>
      </w:r>
      <w:r>
        <w:rPr>
          <w:lang w:val="de-DE"/>
        </w:rPr>
        <w:t>erfüllt</w:t>
      </w:r>
      <w:r>
        <w:rPr>
          <w:lang w:val="de-DE"/>
        </w:rPr>
        <w:t xml:space="preserve"> sein:</w:t>
      </w:r>
    </w:p>
    <w:p>
      <w:pPr>
        <w:pStyle w:val="Normal"/>
        <w:numPr>
          <w:ilvl w:val="0"/>
          <w:numId w:val="3"/>
        </w:numPr>
        <w:spacing w:before="0" w:after="120"/>
        <w:jc w:val="both"/>
        <w:rPr/>
      </w:pPr>
      <w:r>
        <w:rPr>
          <w:lang w:val="de-DE"/>
        </w:rPr>
        <w:t>Projiziert auf den Gerinnelauf befindet sich die berechnete Lokalisierung innerhalb von 800 m vom Gerinnekopf.</w:t>
      </w:r>
    </w:p>
    <w:p>
      <w:pPr>
        <w:pStyle w:val="Normal"/>
        <w:numPr>
          <w:ilvl w:val="0"/>
          <w:numId w:val="3"/>
        </w:numPr>
        <w:spacing w:before="0" w:after="120"/>
        <w:jc w:val="both"/>
        <w:rPr/>
      </w:pPr>
      <w:r>
        <w:rPr>
          <w:lang w:val="de-DE"/>
        </w:rPr>
        <w:t>Die Abfallrate der seismischen ist gut mit einer theoretischen Beziehung modellierbar (variance reduction &gt; 95 %).</w:t>
      </w:r>
    </w:p>
    <w:p>
      <w:pPr>
        <w:pStyle w:val="Normal"/>
        <w:numPr>
          <w:ilvl w:val="0"/>
          <w:numId w:val="3"/>
        </w:numPr>
        <w:spacing w:before="0" w:after="120"/>
        <w:jc w:val="both"/>
        <w:rPr/>
      </w:pPr>
      <w:r>
        <w:rPr>
          <w:lang w:val="de-DE"/>
        </w:rPr>
        <w:t>1. und 2. müssen wahrend 6 aufeinander folgenden 20 Sekunden langen Zeitfenstern erfüllt sein.</w:t>
      </w:r>
    </w:p>
    <w:p>
      <w:pPr>
        <w:pStyle w:val="Normal"/>
        <w:spacing w:before="0" w:after="120"/>
        <w:jc w:val="both"/>
        <w:rPr>
          <w:lang w:val="de-DE"/>
        </w:rPr>
      </w:pPr>
      <w:r>
        <w:rPr/>
      </w:r>
    </w:p>
    <w:p>
      <w:pPr>
        <w:pStyle w:val="Normal"/>
        <w:spacing w:before="0" w:after="120"/>
        <w:jc w:val="both"/>
        <w:rPr/>
      </w:pPr>
      <w:r>
        <w:rPr>
          <w:lang w:val="de-DE"/>
        </w:rPr>
        <w:t>I</w:t>
      </w:r>
      <w:r>
        <w:rPr>
          <w:lang w:val="de-DE"/>
        </w:rPr>
        <w:t>m Falle einer Detektion wurde eine Email an F. Walter versendet.</w:t>
      </w:r>
    </w:p>
    <w:p>
      <w:pPr>
        <w:pStyle w:val="Normal"/>
        <w:spacing w:before="0" w:after="120"/>
        <w:jc w:val="both"/>
        <w:rPr>
          <w:lang w:val="de-DE"/>
        </w:rPr>
      </w:pPr>
      <w:r>
        <w:rPr/>
      </w:r>
    </w:p>
    <w:p>
      <w:pPr>
        <w:pStyle w:val="Normal"/>
        <w:spacing w:before="0" w:after="120"/>
        <w:jc w:val="both"/>
        <w:rPr/>
      </w:pPr>
      <w:r>
        <w:rPr>
          <w:b/>
          <w:bCs/>
          <w:lang w:val="de-DE"/>
        </w:rPr>
        <w:t xml:space="preserve">ERGEBNISSE: </w:t>
      </w:r>
      <w:r>
        <w:rPr>
          <w:b/>
          <w:bCs/>
          <w:lang w:val="de-DE"/>
        </w:rPr>
        <w:t>DETEKTIONSSTATISTIK</w:t>
      </w:r>
    </w:p>
    <w:p>
      <w:pPr>
        <w:pStyle w:val="Normal"/>
        <w:spacing w:before="0" w:after="120"/>
        <w:jc w:val="both"/>
        <w:rPr/>
      </w:pPr>
      <w:r>
        <w:rPr>
          <w:lang w:val="de-DE"/>
        </w:rPr>
        <w:t>Die meisten Stationen ueberlieferten Ihre Messungen verlaesslich an den Detektionsalgorithmus. Wegen technischer Probleme gingen ILL15 und ILL16 erst in der 2. Junihaelfte online. Echtzeit-Datenuebertragung lag bei allen Stationen ausser ILL18 bei 99% oder mehr. ILL18 (die einzige Station im oberen Einzugsgebiet, installiert an der Steinschlaghuette) übertrug 80% der Daten in Ech</w:t>
      </w:r>
      <w:r>
        <w:rPr>
          <w:lang w:val="de-DE"/>
        </w:rPr>
        <w:t>t</w:t>
      </w:r>
      <w:r>
        <w:rPr>
          <w:lang w:val="de-DE"/>
        </w:rPr>
        <w:t>zeit.</w:t>
      </w:r>
    </w:p>
    <w:p>
      <w:pPr>
        <w:pStyle w:val="Normal"/>
        <w:spacing w:before="0" w:after="120"/>
        <w:jc w:val="both"/>
        <w:rPr/>
      </w:pPr>
      <w:r>
        <w:rPr>
          <w:lang w:val="de-DE"/>
        </w:rPr>
        <w:t>Abb *** (schwarze Balken) zeigt alle Detektionen waehrend der Überwachungsperiode im Sommer 2018. Insgesamt gab es *** Detektionen, wovon allerdings nur *** den Murgang- oder Flutereignissen zugeordnet werden koennen. Die hohe Anzahl falscher Detektionen laesst sich auf starke gemessene seismische Signale an den hoeher gelegenen Stationen zurueckfuehren. Diese Signale sind auf lokale Quellen, wie z.B. Praesenz von Vieh, anderen Tieren, Baumachinen, Touristen oder aehnlichem zurueckzufuehren. In seiner derzeitigen Form kann der Detektions-Algorithmus diese Quellen nicht von einer natuerlichen starken seismischen Quelle wie. z.B. ein Murgang im oberen Einzugsgebiet, unterscheiden.</w:t>
      </w:r>
    </w:p>
    <w:p>
      <w:pPr>
        <w:pStyle w:val="Normal"/>
        <w:spacing w:before="0" w:after="120"/>
        <w:jc w:val="both"/>
        <w:rPr/>
      </w:pPr>
      <w:r>
        <w:rPr>
          <w:lang w:val="de-DE"/>
        </w:rPr>
        <w:t xml:space="preserve">Um die falschen Detektionen automatisch aufzufangen testen wir eine einfache Erweiterung des Detektions-Algorithmusses, welche sich in Zukunft leicht in die Echtzeitprozessierung integrieren liesse: Im Falle einer Lokalisierung im oberen Einzugsgebiet (1. Bedingung fuer eine Detektion) wird die Lokalisierung wiederholt, allerdings ohne die Station mit dem staerksten seismischen Signal. Nur wenn diese 2. Lokalisierung ebenfalls im oberen Einzugsgebiet liegt, wird sie akzeptiert, andernfalls wird die Detektion als falsch abgelehnt und kein Alarm verschickt. Dieser einfache Test reduziert die falschen Detektionen von *** auf ***, </w:t>
      </w:r>
      <w:r>
        <w:rPr>
          <w:lang w:val="de-DE"/>
        </w:rPr>
        <w:t>allerdings werden</w:t>
      </w:r>
      <w:r>
        <w:rPr>
          <w:lang w:val="de-DE"/>
        </w:rPr>
        <w:t xml:space="preserve"> die beiden Flutereignisse aufgrund ihrer schwachen Signale </w:t>
      </w:r>
      <w:r>
        <w:rPr>
          <w:lang w:val="de-DE"/>
        </w:rPr>
        <w:t>(Tabelle ***)</w:t>
      </w:r>
      <w:r>
        <w:rPr>
          <w:lang w:val="de-DE"/>
        </w:rPr>
        <w:t xml:space="preserve"> nicht mehr detektier</w:t>
      </w:r>
      <w:r>
        <w:rPr>
          <w:lang w:val="de-DE"/>
        </w:rPr>
        <w:t xml:space="preserve">t. An der Detektierbarkeit der beiden Murgaenge ändert sich jedoch nichts. </w:t>
      </w:r>
    </w:p>
    <w:p>
      <w:pPr>
        <w:pStyle w:val="Normal"/>
        <w:spacing w:before="0" w:after="120"/>
        <w:jc w:val="both"/>
        <w:rPr>
          <w:lang w:val="de-DE"/>
        </w:rPr>
      </w:pPr>
      <w:r>
        <w:rPr/>
      </w:r>
    </w:p>
    <w:p>
      <w:pPr>
        <w:pStyle w:val="Normal"/>
        <w:spacing w:before="0" w:after="120"/>
        <w:jc w:val="both"/>
        <w:rPr>
          <w:b/>
          <w:b/>
          <w:bCs/>
        </w:rPr>
      </w:pPr>
      <w:r>
        <w:rPr>
          <w:b/>
          <w:bCs/>
          <w:lang w:val="de-DE"/>
        </w:rPr>
        <w:t>ERGEBNISSE: FRÜHWARNZEIT</w:t>
      </w:r>
    </w:p>
    <w:p>
      <w:pPr>
        <w:pStyle w:val="Normal"/>
        <w:spacing w:before="0" w:after="120"/>
        <w:jc w:val="both"/>
        <w:rPr>
          <w:lang w:val="de-DE"/>
        </w:rPr>
      </w:pPr>
      <w:r>
        <w:rPr/>
      </w:r>
    </w:p>
    <w:p>
      <w:pPr>
        <w:pStyle w:val="Normal"/>
        <w:spacing w:before="0" w:after="120"/>
        <w:jc w:val="both"/>
        <w:rPr/>
      </w:pPr>
      <w:r>
        <w:rPr>
          <w:lang w:val="de-DE"/>
        </w:rPr>
        <w:t>Tabelle 3: Vergleich zwischen herkoemmlichen Detektionen am Check Dam 1 mit den seismischen Detektionen dieses Pilotprojektes.</w:t>
      </w:r>
    </w:p>
    <w:tbl>
      <w:tblPr>
        <w:tblStyle w:val="TableGrid"/>
        <w:tblW w:w="6653" w:type="dxa"/>
        <w:jc w:val="center"/>
        <w:tblInd w:w="0" w:type="dxa"/>
        <w:tblCellMar>
          <w:top w:w="0" w:type="dxa"/>
          <w:left w:w="108" w:type="dxa"/>
          <w:bottom w:w="0" w:type="dxa"/>
          <w:right w:w="108" w:type="dxa"/>
        </w:tblCellMar>
        <w:tblLook w:val="04a0" w:noVBand="1" w:noHBand="0" w:lastColumn="0" w:firstColumn="1" w:lastRow="0" w:firstRow="1"/>
      </w:tblPr>
      <w:tblGrid>
        <w:gridCol w:w="1357"/>
        <w:gridCol w:w="2691"/>
        <w:gridCol w:w="2605"/>
      </w:tblGrid>
      <w:tr>
        <w:trPr>
          <w:tblHeader w:val="true"/>
        </w:trPr>
        <w:tc>
          <w:tcPr>
            <w:tcW w:w="1357" w:type="dxa"/>
            <w:tcBorders>
              <w:top w:val="nil"/>
              <w:right w:val="nil"/>
              <w:insideV w:val="nil"/>
            </w:tcBorders>
            <w:shd w:color="auto" w:fill="auto" w:val="pct12"/>
            <w:tcMar>
              <w:left w:w="108" w:type="dxa"/>
            </w:tcMar>
          </w:tcPr>
          <w:p>
            <w:pPr>
              <w:pStyle w:val="Normal"/>
              <w:keepNext/>
              <w:spacing w:before="0" w:after="120"/>
              <w:jc w:val="center"/>
              <w:rPr>
                <w:sz w:val="20"/>
                <w:szCs w:val="20"/>
              </w:rPr>
            </w:pPr>
            <w:r>
              <w:rPr>
                <w:sz w:val="20"/>
                <w:szCs w:val="20"/>
              </w:rPr>
              <w:t>Datum</w:t>
            </w:r>
          </w:p>
        </w:tc>
        <w:tc>
          <w:tcPr>
            <w:tcW w:w="2691" w:type="dxa"/>
            <w:tcBorders>
              <w:top w:val="nil"/>
            </w:tcBorders>
            <w:shd w:color="auto" w:fill="auto" w:val="pct12"/>
            <w:tcMar>
              <w:left w:w="108" w:type="dxa"/>
            </w:tcMar>
          </w:tcPr>
          <w:p>
            <w:pPr>
              <w:pStyle w:val="Normal"/>
              <w:spacing w:before="0" w:after="120"/>
              <w:jc w:val="center"/>
              <w:rPr>
                <w:sz w:val="20"/>
                <w:szCs w:val="20"/>
              </w:rPr>
            </w:pPr>
            <w:r>
              <w:rPr>
                <w:sz w:val="20"/>
                <w:szCs w:val="20"/>
                <w:lang w:val="de-DE"/>
              </w:rPr>
              <w:t xml:space="preserve">Detektionszeit </w:t>
            </w:r>
            <w:r>
              <w:rPr>
                <w:sz w:val="20"/>
                <w:szCs w:val="20"/>
                <w:lang w:val="de-DE"/>
              </w:rPr>
              <w:t xml:space="preserve">Check Dam </w:t>
            </w:r>
            <w:r>
              <w:rPr>
                <w:sz w:val="20"/>
                <w:szCs w:val="20"/>
                <w:lang w:val="de-DE"/>
              </w:rPr>
              <w:t xml:space="preserve">1 </w:t>
            </w:r>
          </w:p>
          <w:p>
            <w:pPr>
              <w:pStyle w:val="Normal"/>
              <w:spacing w:before="0" w:after="120"/>
              <w:jc w:val="center"/>
              <w:rPr>
                <w:sz w:val="20"/>
                <w:szCs w:val="20"/>
              </w:rPr>
            </w:pPr>
            <w:r>
              <w:rPr>
                <w:sz w:val="20"/>
                <w:szCs w:val="20"/>
                <w:lang w:val="de-DE"/>
              </w:rPr>
              <w:t>(UTC)</w:t>
            </w:r>
          </w:p>
        </w:tc>
        <w:tc>
          <w:tcPr>
            <w:tcW w:w="2605" w:type="dxa"/>
            <w:tcBorders>
              <w:top w:val="nil"/>
            </w:tcBorders>
            <w:shd w:color="auto" w:fill="auto" w:val="pct12"/>
            <w:tcMar>
              <w:left w:w="108" w:type="dxa"/>
            </w:tcMar>
          </w:tcPr>
          <w:p>
            <w:pPr>
              <w:pStyle w:val="Normal"/>
              <w:spacing w:before="0" w:after="120"/>
              <w:jc w:val="center"/>
              <w:rPr>
                <w:sz w:val="20"/>
                <w:szCs w:val="20"/>
              </w:rPr>
            </w:pPr>
            <w:r>
              <w:rPr>
                <w:sz w:val="20"/>
                <w:szCs w:val="20"/>
                <w:lang w:val="de-DE"/>
              </w:rPr>
              <w:t>Detektionszeit Seismologie</w:t>
            </w:r>
          </w:p>
          <w:p>
            <w:pPr>
              <w:pStyle w:val="Normal"/>
              <w:spacing w:before="0" w:after="120"/>
              <w:jc w:val="center"/>
              <w:rPr>
                <w:sz w:val="20"/>
                <w:szCs w:val="20"/>
              </w:rPr>
            </w:pPr>
            <w:r>
              <w:rPr>
                <w:sz w:val="20"/>
                <w:szCs w:val="20"/>
                <w:lang w:val="de-DE"/>
              </w:rPr>
              <w:t>(UTC)</w:t>
            </w:r>
          </w:p>
        </w:tc>
      </w:tr>
      <w:tr>
        <w:trPr/>
        <w:tc>
          <w:tcPr>
            <w:tcW w:w="1357" w:type="dxa"/>
            <w:tcBorders>
              <w:right w:val="nil"/>
              <w:insideV w:val="nil"/>
            </w:tcBorders>
            <w:shd w:fill="auto" w:val="clear"/>
            <w:tcMar>
              <w:left w:w="108" w:type="dxa"/>
            </w:tcMar>
          </w:tcPr>
          <w:p>
            <w:pPr>
              <w:pStyle w:val="MainText"/>
              <w:keepNext/>
              <w:spacing w:lineRule="auto" w:line="240" w:before="0" w:after="0"/>
              <w:ind w:right="-28" w:hanging="0"/>
              <w:jc w:val="center"/>
              <w:rPr>
                <w:sz w:val="20"/>
                <w:szCs w:val="20"/>
              </w:rPr>
            </w:pPr>
            <w:r>
              <w:rPr>
                <w:sz w:val="20"/>
                <w:szCs w:val="20"/>
              </w:rPr>
              <w:t>2018-06-11</w:t>
            </w:r>
          </w:p>
        </w:tc>
        <w:tc>
          <w:tcPr>
            <w:tcW w:w="2691" w:type="dxa"/>
            <w:tcBorders/>
            <w:shd w:fill="auto" w:val="clear"/>
            <w:tcMar>
              <w:left w:w="108" w:type="dxa"/>
            </w:tcMar>
          </w:tcPr>
          <w:p>
            <w:pPr>
              <w:pStyle w:val="MainText"/>
              <w:spacing w:lineRule="auto" w:line="240" w:before="0" w:after="0"/>
              <w:ind w:right="-28" w:hanging="0"/>
              <w:jc w:val="center"/>
              <w:rPr>
                <w:sz w:val="20"/>
                <w:szCs w:val="20"/>
              </w:rPr>
            </w:pPr>
            <w:r>
              <w:rPr>
                <w:sz w:val="20"/>
                <w:szCs w:val="20"/>
                <w:lang w:val="de-DE"/>
              </w:rPr>
              <w:t>10:46:39</w:t>
            </w:r>
          </w:p>
        </w:tc>
        <w:tc>
          <w:tcPr>
            <w:tcW w:w="2605" w:type="dxa"/>
            <w:tcBorders/>
            <w:shd w:fill="auto" w:val="clear"/>
            <w:tcMar>
              <w:left w:w="108" w:type="dxa"/>
            </w:tcMar>
          </w:tcPr>
          <w:p>
            <w:pPr>
              <w:pStyle w:val="Normal"/>
              <w:spacing w:before="0" w:after="120"/>
              <w:jc w:val="center"/>
              <w:rPr>
                <w:sz w:val="20"/>
                <w:szCs w:val="20"/>
              </w:rPr>
            </w:pPr>
            <w:r>
              <w:rPr>
                <w:sz w:val="20"/>
                <w:szCs w:val="20"/>
                <w:lang w:val="de-DE"/>
              </w:rPr>
              <w:t>10:42:06</w:t>
            </w:r>
          </w:p>
        </w:tc>
      </w:tr>
      <w:tr>
        <w:trPr/>
        <w:tc>
          <w:tcPr>
            <w:tcW w:w="1357" w:type="dxa"/>
            <w:tcBorders>
              <w:right w:val="nil"/>
              <w:insideV w:val="nil"/>
            </w:tcBorders>
            <w:shd w:fill="auto" w:val="clear"/>
            <w:tcMar>
              <w:left w:w="108" w:type="dxa"/>
            </w:tcMar>
          </w:tcPr>
          <w:p>
            <w:pPr>
              <w:pStyle w:val="MainText"/>
              <w:keepNext/>
              <w:numPr>
                <w:ilvl w:val="0"/>
                <w:numId w:val="0"/>
              </w:numPr>
              <w:spacing w:lineRule="auto" w:line="240" w:before="0" w:after="0"/>
              <w:ind w:left="360" w:right="-28" w:hanging="0"/>
              <w:jc w:val="center"/>
              <w:rPr>
                <w:sz w:val="20"/>
                <w:szCs w:val="20"/>
              </w:rPr>
            </w:pPr>
            <w:r>
              <w:rPr>
                <w:sz w:val="20"/>
                <w:szCs w:val="20"/>
              </w:rPr>
              <w:t>2018-06-12</w:t>
            </w:r>
          </w:p>
        </w:tc>
        <w:tc>
          <w:tcPr>
            <w:tcW w:w="2691" w:type="dxa"/>
            <w:tcBorders/>
            <w:shd w:fill="auto" w:val="clear"/>
            <w:tcMar>
              <w:left w:w="108" w:type="dxa"/>
            </w:tcMar>
          </w:tcPr>
          <w:p>
            <w:pPr>
              <w:pStyle w:val="MainText"/>
              <w:numPr>
                <w:ilvl w:val="0"/>
                <w:numId w:val="0"/>
              </w:numPr>
              <w:spacing w:lineRule="auto" w:line="240" w:before="0" w:after="0"/>
              <w:ind w:left="360" w:right="-28" w:hanging="0"/>
              <w:jc w:val="center"/>
              <w:rPr>
                <w:sz w:val="20"/>
                <w:szCs w:val="20"/>
              </w:rPr>
            </w:pPr>
            <w:r>
              <w:rPr>
                <w:sz w:val="20"/>
                <w:szCs w:val="20"/>
                <w:lang w:val="de-DE"/>
              </w:rPr>
              <w:t>18:29:16</w:t>
            </w:r>
          </w:p>
        </w:tc>
        <w:tc>
          <w:tcPr>
            <w:tcW w:w="2605" w:type="dxa"/>
            <w:tcBorders/>
            <w:shd w:fill="auto" w:val="clear"/>
            <w:tcMar>
              <w:left w:w="108" w:type="dxa"/>
            </w:tcMar>
          </w:tcPr>
          <w:p>
            <w:pPr>
              <w:pStyle w:val="Normal"/>
              <w:spacing w:before="0" w:after="120"/>
              <w:jc w:val="center"/>
              <w:rPr>
                <w:sz w:val="20"/>
                <w:szCs w:val="20"/>
              </w:rPr>
            </w:pPr>
            <w:r>
              <w:rPr>
                <w:sz w:val="20"/>
                <w:szCs w:val="20"/>
                <w:lang w:val="de-DE"/>
              </w:rPr>
              <w:t>18:12:46</w:t>
            </w:r>
          </w:p>
        </w:tc>
      </w:tr>
      <w:tr>
        <w:trPr/>
        <w:tc>
          <w:tcPr>
            <w:tcW w:w="1357" w:type="dxa"/>
            <w:tcBorders>
              <w:right w:val="nil"/>
              <w:insideV w:val="nil"/>
            </w:tcBorders>
            <w:shd w:fill="auto" w:val="clear"/>
            <w:tcMar>
              <w:left w:w="108" w:type="dxa"/>
            </w:tcMar>
          </w:tcPr>
          <w:p>
            <w:pPr>
              <w:pStyle w:val="MainText"/>
              <w:keepNext/>
              <w:spacing w:lineRule="auto" w:line="240" w:before="0" w:after="0"/>
              <w:ind w:right="-28" w:hanging="0"/>
              <w:jc w:val="center"/>
              <w:rPr>
                <w:sz w:val="20"/>
                <w:szCs w:val="20"/>
              </w:rPr>
            </w:pPr>
            <w:r>
              <w:rPr>
                <w:sz w:val="20"/>
                <w:szCs w:val="20"/>
              </w:rPr>
              <w:t>2018-07-25</w:t>
            </w:r>
          </w:p>
        </w:tc>
        <w:tc>
          <w:tcPr>
            <w:tcW w:w="2691" w:type="dxa"/>
            <w:tcBorders/>
            <w:shd w:fill="auto" w:val="clear"/>
            <w:tcMar>
              <w:left w:w="108" w:type="dxa"/>
            </w:tcMar>
          </w:tcPr>
          <w:p>
            <w:pPr>
              <w:pStyle w:val="MainText"/>
              <w:spacing w:lineRule="auto" w:line="240" w:before="0" w:after="0"/>
              <w:ind w:right="-28" w:hanging="0"/>
              <w:jc w:val="center"/>
              <w:rPr>
                <w:sz w:val="20"/>
                <w:szCs w:val="20"/>
              </w:rPr>
            </w:pPr>
            <w:r>
              <w:rPr>
                <w:sz w:val="20"/>
                <w:szCs w:val="20"/>
                <w:lang w:val="de-DE"/>
              </w:rPr>
              <w:t>16:56:40</w:t>
            </w:r>
          </w:p>
        </w:tc>
        <w:tc>
          <w:tcPr>
            <w:tcW w:w="2605" w:type="dxa"/>
            <w:tcBorders/>
            <w:shd w:fill="auto" w:val="clear"/>
            <w:tcMar>
              <w:left w:w="108" w:type="dxa"/>
            </w:tcMar>
          </w:tcPr>
          <w:p>
            <w:pPr>
              <w:pStyle w:val="Normal"/>
              <w:spacing w:before="0" w:after="120"/>
              <w:jc w:val="center"/>
              <w:rPr>
                <w:sz w:val="20"/>
                <w:szCs w:val="20"/>
              </w:rPr>
            </w:pPr>
            <w:r>
              <w:rPr>
                <w:sz w:val="20"/>
                <w:szCs w:val="20"/>
                <w:lang w:val="de-DE"/>
              </w:rPr>
              <w:t>16:50:27</w:t>
            </w:r>
          </w:p>
        </w:tc>
      </w:tr>
      <w:tr>
        <w:trPr/>
        <w:tc>
          <w:tcPr>
            <w:tcW w:w="1357" w:type="dxa"/>
            <w:tcBorders>
              <w:right w:val="nil"/>
              <w:insideV w:val="nil"/>
            </w:tcBorders>
            <w:shd w:fill="auto" w:val="clear"/>
            <w:tcMar>
              <w:left w:w="108" w:type="dxa"/>
            </w:tcMar>
          </w:tcPr>
          <w:p>
            <w:pPr>
              <w:pStyle w:val="MainText"/>
              <w:keepNext/>
              <w:spacing w:lineRule="auto" w:line="240" w:before="0" w:after="0"/>
              <w:ind w:right="-28" w:hanging="0"/>
              <w:jc w:val="center"/>
              <w:rPr>
                <w:sz w:val="20"/>
                <w:szCs w:val="20"/>
              </w:rPr>
            </w:pPr>
            <w:r>
              <w:rPr>
                <w:sz w:val="20"/>
                <w:szCs w:val="20"/>
              </w:rPr>
              <w:t>2018-08-08</w:t>
            </w:r>
          </w:p>
        </w:tc>
        <w:tc>
          <w:tcPr>
            <w:tcW w:w="2691" w:type="dxa"/>
            <w:tcBorders/>
            <w:shd w:fill="auto" w:val="clear"/>
            <w:tcMar>
              <w:left w:w="108" w:type="dxa"/>
            </w:tcMar>
          </w:tcPr>
          <w:p>
            <w:pPr>
              <w:pStyle w:val="Normal"/>
              <w:spacing w:before="0" w:after="120"/>
              <w:jc w:val="center"/>
              <w:rPr>
                <w:sz w:val="20"/>
                <w:szCs w:val="20"/>
              </w:rPr>
            </w:pPr>
            <w:r>
              <w:rPr>
                <w:sz w:val="20"/>
                <w:szCs w:val="20"/>
                <w:lang w:val="de-DE"/>
              </w:rPr>
              <w:t xml:space="preserve"> </w:t>
            </w:r>
            <w:r>
              <w:rPr>
                <w:sz w:val="20"/>
                <w:szCs w:val="20"/>
                <w:lang w:val="de-DE"/>
              </w:rPr>
              <w:t>17:49:25</w:t>
            </w:r>
          </w:p>
        </w:tc>
        <w:tc>
          <w:tcPr>
            <w:tcW w:w="2605" w:type="dxa"/>
            <w:tcBorders/>
            <w:shd w:fill="auto" w:val="clear"/>
            <w:tcMar>
              <w:left w:w="108" w:type="dxa"/>
            </w:tcMar>
          </w:tcPr>
          <w:p>
            <w:pPr>
              <w:pStyle w:val="Normal"/>
              <w:spacing w:before="0" w:after="120"/>
              <w:jc w:val="center"/>
              <w:rPr>
                <w:sz w:val="20"/>
                <w:szCs w:val="20"/>
              </w:rPr>
            </w:pPr>
            <w:r>
              <w:rPr>
                <w:sz w:val="20"/>
                <w:szCs w:val="20"/>
                <w:lang w:val="de-DE"/>
              </w:rPr>
              <w:t>17:45:08</w:t>
            </w:r>
          </w:p>
        </w:tc>
      </w:tr>
    </w:tbl>
    <w:p>
      <w:pPr>
        <w:pStyle w:val="Normal"/>
        <w:spacing w:before="0" w:after="120"/>
        <w:jc w:val="both"/>
        <w:rPr>
          <w:lang w:val="de-DE"/>
        </w:rPr>
      </w:pPr>
      <w:r>
        <w:rPr/>
      </w:r>
    </w:p>
    <w:p>
      <w:pPr>
        <w:pStyle w:val="Normal"/>
        <w:spacing w:before="0" w:after="120"/>
        <w:jc w:val="both"/>
        <w:rPr>
          <w:lang w:val="de-DE"/>
        </w:rPr>
      </w:pPr>
      <w:r>
        <w:rPr/>
      </w:r>
    </w:p>
    <w:p>
      <w:pPr>
        <w:pStyle w:val="Normal"/>
        <w:spacing w:before="0" w:after="120"/>
        <w:jc w:val="both"/>
        <w:rPr>
          <w:lang w:val="de-DE"/>
        </w:rPr>
      </w:pPr>
      <w:r>
        <w:rPr/>
      </w:r>
    </w:p>
    <w:p>
      <w:pPr>
        <w:pStyle w:val="Normal"/>
        <w:spacing w:before="0" w:after="120"/>
        <w:jc w:val="both"/>
        <w:rPr>
          <w:lang w:val="de-DE"/>
        </w:rPr>
      </w:pPr>
      <w:r>
        <w:rPr/>
      </w:r>
    </w:p>
    <w:p>
      <w:pPr>
        <w:pStyle w:val="Normal"/>
        <w:spacing w:before="0" w:after="120"/>
        <w:jc w:val="both"/>
        <w:rPr>
          <w:lang w:val="de-DE"/>
        </w:rPr>
      </w:pPr>
      <w:r>
        <w:rPr/>
      </w:r>
    </w:p>
    <w:p>
      <w:pPr>
        <w:pStyle w:val="Normal"/>
        <w:spacing w:before="0" w:after="120"/>
        <w:jc w:val="both"/>
        <w:rPr>
          <w:b/>
          <w:b/>
          <w:bCs/>
        </w:rPr>
      </w:pPr>
      <w:r>
        <w:rPr>
          <w:b/>
          <w:bCs/>
          <w:lang w:val="de-DE"/>
        </w:rPr>
        <w:t>SCHLUSSFOLGERUNG</w:t>
      </w:r>
    </w:p>
    <w:p>
      <w:pPr>
        <w:pStyle w:val="Normal"/>
        <w:spacing w:before="0" w:after="120"/>
        <w:jc w:val="both"/>
        <w:rPr>
          <w:lang w:val="de-DE"/>
        </w:rPr>
      </w:pPr>
      <w:r>
        <w:rPr/>
      </w:r>
    </w:p>
    <w:p>
      <w:pPr>
        <w:pStyle w:val="Normal"/>
        <w:spacing w:before="0" w:after="120"/>
        <w:jc w:val="both"/>
        <w:rPr/>
      </w:pPr>
      <w:r>
        <w:rPr>
          <w:lang w:val="de-DE"/>
        </w:rPr>
        <w:t>Detektion gut, aber zu viele falsche Alarme</w:t>
      </w:r>
    </w:p>
    <w:p>
      <w:pPr>
        <w:pStyle w:val="Normal"/>
        <w:spacing w:before="0" w:after="120"/>
        <w:jc w:val="both"/>
        <w:rPr/>
      </w:pPr>
      <w:r>
        <w:rPr>
          <w:lang w:val="de-DE"/>
        </w:rPr>
        <w:tab/>
        <w:t>Postprocessing OK, aber verpasst dann die kleinen Ereignisse</w:t>
      </w:r>
    </w:p>
    <w:p>
      <w:pPr>
        <w:pStyle w:val="Normal"/>
        <w:spacing w:before="0" w:after="120"/>
        <w:jc w:val="both"/>
        <w:rPr/>
      </w:pPr>
      <w:r>
        <w:rPr>
          <w:lang w:val="de-DE"/>
        </w:rPr>
        <w:tab/>
        <w:t>trotzdem sind ein paar Minuten Frühwarnzeit mehr drin als CD1</w:t>
      </w:r>
    </w:p>
    <w:p>
      <w:pPr>
        <w:pStyle w:val="Normal"/>
        <w:spacing w:before="0" w:after="120"/>
        <w:jc w:val="both"/>
        <w:rPr>
          <w:lang w:val="de-DE"/>
        </w:rPr>
      </w:pPr>
      <w:r>
        <w:rPr/>
      </w:r>
    </w:p>
    <w:p>
      <w:pPr>
        <w:pStyle w:val="Normal"/>
        <w:spacing w:before="0" w:after="120"/>
        <w:jc w:val="both"/>
        <w:rPr/>
      </w:pPr>
      <w:r>
        <w:rPr>
          <w:lang w:val="de-DE"/>
        </w:rPr>
        <w:t>Kombination mit anderen Messungen</w:t>
      </w:r>
    </w:p>
    <w:p>
      <w:pPr>
        <w:pStyle w:val="Normal"/>
        <w:spacing w:before="0" w:after="120"/>
        <w:jc w:val="both"/>
        <w:rPr>
          <w:lang w:val="de-DE"/>
        </w:rPr>
      </w:pPr>
      <w:r>
        <w:rPr/>
      </w:r>
    </w:p>
    <w:p>
      <w:pPr>
        <w:pStyle w:val="Normal"/>
        <w:spacing w:before="0" w:after="120"/>
        <w:jc w:val="both"/>
        <w:rPr/>
      </w:pPr>
      <w:r>
        <w:rPr>
          <w:lang w:val="de-DE"/>
        </w:rPr>
        <w:t>Optimierung des Algorithmusses</w:t>
      </w:r>
    </w:p>
    <w:p>
      <w:pPr>
        <w:pStyle w:val="Normal"/>
        <w:spacing w:before="0" w:after="120"/>
        <w:jc w:val="both"/>
        <w:rPr>
          <w:lang w:val="de-DE"/>
        </w:rPr>
      </w:pPr>
      <w:r>
        <w:rPr/>
      </w:r>
    </w:p>
    <w:p>
      <w:pPr>
        <w:pStyle w:val="Normal"/>
        <w:spacing w:before="0" w:after="120"/>
        <w:jc w:val="both"/>
        <w:rPr>
          <w:lang w:val="de-DE"/>
        </w:rPr>
      </w:pPr>
      <w:r>
        <w:rPr/>
      </w:r>
    </w:p>
    <w:p>
      <w:pPr>
        <w:pStyle w:val="Normal"/>
        <w:spacing w:before="0" w:after="120"/>
        <w:jc w:val="both"/>
        <w:rPr/>
      </w:pPr>
      <w:r>
        <w:rPr>
          <w:lang w:val="de-DE"/>
        </w:rPr>
        <w:t>Echtzeit-Output: Expert view</w:t>
      </w:r>
    </w:p>
    <w:p>
      <w:pPr>
        <w:pStyle w:val="Normal"/>
        <w:spacing w:before="0" w:after="120"/>
        <w:jc w:val="both"/>
        <w:rPr>
          <w:lang w:val="de-DE"/>
        </w:rPr>
      </w:pPr>
      <w:r>
        <w:rPr/>
      </w:r>
    </w:p>
    <w:p>
      <w:pPr>
        <w:pStyle w:val="Normal"/>
        <w:spacing w:before="0" w:after="120"/>
        <w:jc w:val="both"/>
        <w:rPr>
          <w:lang w:val="de-DE"/>
        </w:rPr>
      </w:pPr>
      <w:r>
        <w:rPr/>
      </w:r>
    </w:p>
    <w:p>
      <w:pPr>
        <w:pStyle w:val="Normal"/>
        <w:spacing w:before="0" w:after="120"/>
        <w:jc w:val="both"/>
        <w:rPr>
          <w:lang w:val="de-DE"/>
        </w:rPr>
      </w:pPr>
      <w:r>
        <w:rPr>
          <w:lang w:val="de-DE"/>
        </w:rPr>
      </w:r>
    </w:p>
    <w:p>
      <w:pPr>
        <w:pStyle w:val="Normal"/>
        <w:spacing w:before="0" w:after="120"/>
        <w:jc w:val="both"/>
        <w:rPr>
          <w:lang w:val="de-DE"/>
        </w:rPr>
      </w:pPr>
      <w:bookmarkStart w:id="0" w:name="_GoBack"/>
      <w:bookmarkStart w:id="1" w:name="_GoBack"/>
      <w:bookmarkEnd w:id="1"/>
      <w:r>
        <w:rPr>
          <w:lang w:val="de-DE"/>
        </w:rPr>
      </w:r>
    </w:p>
    <w:p>
      <w:pPr>
        <w:pStyle w:val="Normal"/>
        <w:spacing w:before="0" w:after="120"/>
        <w:jc w:val="both"/>
        <w:rPr>
          <w:lang w:val="de-DE"/>
        </w:rPr>
      </w:pPr>
      <w:r>
        <w:rPr>
          <w:lang w:val="de-DE"/>
        </w:rPr>
      </w:r>
    </w:p>
    <w:p>
      <w:pPr>
        <w:pStyle w:val="Normal"/>
        <w:pBdr/>
        <w:spacing w:before="0" w:after="120"/>
        <w:jc w:val="both"/>
        <w:rPr/>
      </w:pPr>
      <w:r>
        <w:rPr/>
      </w:r>
    </w:p>
    <w:sectPr>
      <w:footerReference w:type="default" r:id="rId4"/>
      <w:type w:val="nextPage"/>
      <w:pgSz w:w="11906" w:h="16838"/>
      <w:pgMar w:left="1800" w:right="1800" w:header="0" w:top="1134" w:footer="708" w:bottom="993" w:gutter="0"/>
      <w:pgNumType w:fmt="decimal"/>
      <w:formProt w:val="false"/>
      <w:textDirection w:val="lrTb"/>
      <w:docGrid w:type="default" w:linePitch="360" w:charSpace="4294965247"/>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Times New Roman">
    <w:charset w:val="01"/>
    <w:family w:val="roman"/>
    <w:pitch w:val="variable"/>
  </w:font>
  <w:font w:name="Calibri">
    <w:charset w:val="01"/>
    <w:family w:val="roman"/>
    <w:pitch w:val="variable"/>
  </w:font>
  <w:font w:name="Lucida Grande">
    <w:charset w:val="01"/>
    <w:family w:val="roman"/>
    <w:pitch w:val="variable"/>
  </w:font>
  <w:font w:name="Liberation Sans">
    <w:altName w:val="Arial"/>
    <w:charset w:val="01"/>
    <w:family w:val="swiss"/>
    <w:pitch w:val="variable"/>
  </w:font>
  <w:font w:name="Symbol">
    <w:charset w:val="02"/>
    <w:family w:val="auto"/>
    <w:pitch w:val="default"/>
  </w:font>
  <w:font w:name="Courier New">
    <w:charset w:val="01"/>
    <w:family w:val="auto"/>
    <w:pitch w:val="fixed"/>
  </w:font>
  <w:font w:name="Wingdings">
    <w:charset w:val="02"/>
    <w:family w:val="auto"/>
    <w:pitch w:val="default"/>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ind w:right="360" w:hanging="0"/>
      <w:rPr/>
    </w:pPr>
    <w:r>
      <w:rPr/>
    </w:r>
    <w:r>
      <mc:AlternateContent>
        <mc:Choice Requires="wps">
          <w:drawing>
            <wp:anchor behindDoc="0" distT="0" distB="0" distL="0" distR="0" simplePos="0" locked="0" layoutInCell="1" allowOverlap="1" relativeHeight="9">
              <wp:simplePos x="0" y="0"/>
              <wp:positionH relativeFrom="margin">
                <wp:align>right</wp:align>
              </wp:positionH>
              <wp:positionV relativeFrom="paragraph">
                <wp:posOffset>635</wp:posOffset>
              </wp:positionV>
              <wp:extent cx="70485" cy="160655"/>
              <wp:effectExtent l="0" t="0" r="0" b="0"/>
              <wp:wrapSquare wrapText="largest"/>
              <wp:docPr id="4" name="Frame2"/>
              <a:graphic xmlns:a="http://schemas.openxmlformats.org/drawingml/2006/main">
                <a:graphicData uri="http://schemas.microsoft.com/office/word/2010/wordprocessingShape">
                  <wps:wsp>
                    <wps:cNvSpPr txBox="1"/>
                    <wps:spPr>
                      <a:xfrm>
                        <a:off x="0" y="0"/>
                        <a:ext cx="70485" cy="160655"/>
                      </a:xfrm>
                      <a:prstGeom prst="rect"/>
                      <a:solidFill>
                        <a:srgbClr val="FFFFFF">
                          <a:alpha val="0"/>
                        </a:srgbClr>
                      </a:solidFill>
                    </wps:spPr>
                    <wps:txbx>
                      <w:txbxContent>
                        <w:p>
                          <w:pPr>
                            <w:pStyle w:val="Footer"/>
                            <w:pBdr/>
                            <w:rPr/>
                          </w:pPr>
                          <w:r>
                            <w:rPr>
                              <w:rStyle w:val="Pagenumber"/>
                            </w:rPr>
                            <w:fldChar w:fldCharType="begin"/>
                          </w:r>
                          <w:r>
                            <w:instrText> PAGE </w:instrText>
                          </w:r>
                          <w:r>
                            <w:fldChar w:fldCharType="separate"/>
                          </w:r>
                          <w:r>
                            <w:t>5</w:t>
                          </w:r>
                          <w:r>
                            <w:fldChar w:fldCharType="end"/>
                          </w:r>
                        </w:p>
                      </w:txbxContent>
                    </wps:txbx>
                    <wps:bodyPr anchor="t" lIns="0" tIns="0" rIns="0" bIns="0">
                      <a:spAutoFit/>
                    </wps:bodyPr>
                  </wps:wsp>
                </a:graphicData>
              </a:graphic>
            </wp:anchor>
          </w:drawing>
        </mc:Choice>
        <mc:Fallback>
          <w:pict>
            <v:rect fillcolor="#FFFFFF" style="position:absolute;rotation:0;width:5.55pt;height:12.65pt;mso-wrap-distance-left:0pt;mso-wrap-distance-right:0pt;mso-wrap-distance-top:0pt;mso-wrap-distance-bottom:0pt;margin-top:0.05pt;mso-position-vertical-relative:text;margin-left:409.75pt;mso-position-horizontal:right;mso-position-horizontal-relative:margin">
              <v:fill opacity="0f"/>
              <v:textbox inset="0in,0in,0in,0in">
                <w:txbxContent>
                  <w:p>
                    <w:pPr>
                      <w:pStyle w:val="Footer"/>
                      <w:pBdr/>
                      <w:rPr/>
                    </w:pPr>
                    <w:r>
                      <w:rPr>
                        <w:rStyle w:val="Pagenumber"/>
                      </w:rPr>
                      <w:fldChar w:fldCharType="begin"/>
                    </w:r>
                    <w:r>
                      <w:instrText> PAGE </w:instrText>
                    </w:r>
                    <w:r>
                      <w:fldChar w:fldCharType="separate"/>
                    </w:r>
                    <w:r>
                      <w:t>5</w:t>
                    </w:r>
                    <w:r>
                      <w:fldChar w:fldCharType="end"/>
                    </w:r>
                  </w:p>
                </w:txbxContent>
              </v:textbox>
              <w10:wrap type="square" side="largest"/>
            </v:rect>
          </w:pict>
        </mc:Fallback>
      </mc:AlternateContent>
    </w:r>
  </w:p>
</w:ft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Fonts w:cs="Courier New"/>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Fonts w:cs="Courier New"/>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Fonts w:cs="Courier New"/>
      </w:rPr>
    </w:lvl>
    <w:lvl w:ilvl="8">
      <w:start w:val="1"/>
      <w:numFmt w:val="bullet"/>
      <w:lvlText w:val=""/>
      <w:lvlJc w:val="left"/>
      <w:pPr>
        <w:ind w:left="6120" w:hanging="360"/>
      </w:pPr>
      <w:rPr>
        <w:rFonts w:ascii="Wingdings" w:hAnsi="Wingdings" w:cs="Wingdings" w:hint="default"/>
      </w:rPr>
    </w:lvl>
  </w:abstractNum>
  <w:abstractNum w:abstractNumId="2">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Fonts w:cs="Courier New"/>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Fonts w:cs="Courier New"/>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Fonts w:cs="Courier New"/>
      </w:rPr>
    </w:lvl>
    <w:lvl w:ilvl="8">
      <w:start w:val="1"/>
      <w:numFmt w:val="bullet"/>
      <w:lvlText w:val=""/>
      <w:lvlJc w:val="left"/>
      <w:pPr>
        <w:ind w:left="6120" w:hanging="360"/>
      </w:pPr>
      <w:rPr>
        <w:rFonts w:ascii="Wingdings" w:hAnsi="Wingdings" w:cs="Wingdings" w:hint="default"/>
      </w:rPr>
    </w:lvl>
  </w:abstractNum>
  <w:abstractNum w:abstractNumId="3">
    <w:lvl w:ilvl="0">
      <w:start w:val="1"/>
      <w:numFmt w:val="decimal"/>
      <w:lvlText w:val="%1."/>
      <w:lvlJc w:val="left"/>
      <w:pPr>
        <w:tabs>
          <w:tab w:val="num" w:pos="720"/>
        </w:tabs>
        <w:ind w:left="720" w:hanging="360"/>
      </w:pPr>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4">
    <w:lvl w:ilvl="0">
      <w:start w:val="1"/>
      <w:numFmt w:val="none"/>
      <w:suff w:val="nothing"/>
      <w:lvlText w:val=""/>
      <w:lvlJc w:val="left"/>
      <w:pPr>
        <w:ind w:left="0" w:hanging="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num w:numId="1">
    <w:abstractNumId w:val="1"/>
  </w:num>
  <w:num w:numId="2">
    <w:abstractNumId w:val="2"/>
  </w:num>
  <w:num w:numId="3">
    <w:abstractNumId w:val="3"/>
  </w:num>
  <w:num w:numId="4">
    <w:abstractNumId w:val="4"/>
  </w:num>
</w:numbering>
</file>

<file path=word/settings.xml><?xml version="1.0" encoding="utf-8"?>
<w:settings xmlns:w="http://schemas.openxmlformats.org/wordprocessingml/2006/main">
  <w:zoom w:percent="160"/>
  <w:defaultTabStop w:val="720"/>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en-US" w:eastAsia="ja-JP"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ＭＳ 明朝" w:cs="Times New Roman" w:eastAsiaTheme="minorEastAsia"/>
        <w:lang w:val="en-US" w:eastAsia="ja-JP" w:bidi="ar-SA"/>
      </w:rPr>
    </w:rPrDefault>
    <w:pPrDefault>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pPr>
      <w:widowControl/>
      <w:bidi w:val="0"/>
      <w:jc w:val="left"/>
    </w:pPr>
    <w:rPr>
      <w:rFonts w:eastAsia="Times New Roman" w:ascii="Times New Roman" w:hAnsi="Times New Roman" w:cs="Times New Roman"/>
      <w:color w:val="auto"/>
      <w:sz w:val="22"/>
      <w:szCs w:val="22"/>
      <w:lang w:val="en-US" w:eastAsia="ja-JP" w:bidi="ar-SA"/>
    </w:rPr>
  </w:style>
  <w:style w:type="paragraph" w:styleId="Heading1">
    <w:name w:val="Heading 1"/>
    <w:basedOn w:val="Normal"/>
    <w:next w:val="Normal"/>
    <w:link w:val="Heading1Char"/>
    <w:uiPriority w:val="9"/>
    <w:qFormat/>
    <w:rsid w:val="00ac48ac"/>
    <w:pPr>
      <w:keepNext/>
      <w:keepLines/>
      <w:spacing w:before="480" w:after="0"/>
      <w:outlineLvl w:val="0"/>
    </w:pPr>
    <w:rPr>
      <w:rFonts w:ascii="Calibri" w:hAnsi="Calibri" w:eastAsia="ＭＳ ゴシック" w:cs="" w:asciiTheme="majorHAnsi" w:cstheme="majorBidi" w:eastAsiaTheme="majorEastAsia" w:hAnsiTheme="majorHAnsi"/>
      <w:b/>
      <w:bCs/>
      <w:color w:val="345A8A" w:themeColor="accent1" w:themeShade="b5"/>
      <w:sz w:val="32"/>
      <w:szCs w:val="32"/>
    </w:rPr>
  </w:style>
  <w:style w:type="paragraph" w:styleId="Heading2">
    <w:name w:val="Heading 2"/>
    <w:basedOn w:val="Normal"/>
    <w:next w:val="Normal"/>
    <w:link w:val="Heading2Char"/>
    <w:uiPriority w:val="9"/>
    <w:unhideWhenUsed/>
    <w:qFormat/>
    <w:rsid w:val="00ac48ac"/>
    <w:pPr>
      <w:keepNext/>
      <w:keepLines/>
      <w:spacing w:before="200" w:after="0"/>
      <w:outlineLvl w:val="1"/>
    </w:pPr>
    <w:rPr>
      <w:rFonts w:ascii="Calibri" w:hAnsi="Calibri" w:eastAsia="ＭＳ ゴシック" w:cs="" w:asciiTheme="majorHAnsi" w:cstheme="majorBidi" w:eastAsiaTheme="majorEastAsia" w:hAnsiTheme="majorHAnsi"/>
      <w:b/>
      <w:bCs/>
      <w:color w:val="4F81BD" w:themeColor="accent1"/>
      <w:sz w:val="26"/>
      <w:szCs w:val="26"/>
    </w:rPr>
  </w:style>
  <w:style w:type="character" w:styleId="DefaultParagraphFont" w:default="1">
    <w:name w:val="Default Paragraph Font"/>
    <w:uiPriority w:val="1"/>
    <w:unhideWhenUsed/>
    <w:qFormat/>
    <w:rPr/>
  </w:style>
  <w:style w:type="character" w:styleId="BalloonTextChar" w:customStyle="1">
    <w:name w:val="Balloon Text Char"/>
    <w:basedOn w:val="DefaultParagraphFont"/>
    <w:link w:val="BalloonText"/>
    <w:uiPriority w:val="99"/>
    <w:semiHidden/>
    <w:qFormat/>
    <w:rsid w:val="002a185a"/>
    <w:rPr>
      <w:rFonts w:ascii="Lucida Grande" w:hAnsi="Lucida Grande" w:eastAsia="Times New Roman"/>
      <w:sz w:val="18"/>
      <w:szCs w:val="18"/>
    </w:rPr>
  </w:style>
  <w:style w:type="character" w:styleId="TitleChar" w:customStyle="1">
    <w:name w:val="Title Char"/>
    <w:basedOn w:val="DefaultParagraphFont"/>
    <w:link w:val="Title"/>
    <w:uiPriority w:val="10"/>
    <w:qFormat/>
    <w:rsid w:val="00dd17fa"/>
    <w:rPr>
      <w:rFonts w:ascii="Calibri" w:hAnsi="Calibri" w:eastAsia="ＭＳ ゴシック" w:cs="" w:asciiTheme="majorHAnsi" w:cstheme="majorBidi" w:eastAsiaTheme="majorEastAsia" w:hAnsiTheme="majorHAnsi"/>
      <w:color w:val="17365D" w:themeColor="text2" w:themeShade="bf"/>
      <w:spacing w:val="5"/>
      <w:sz w:val="52"/>
      <w:szCs w:val="52"/>
    </w:rPr>
  </w:style>
  <w:style w:type="character" w:styleId="SubtitleChar" w:customStyle="1">
    <w:name w:val="Subtitle Char"/>
    <w:basedOn w:val="DefaultParagraphFont"/>
    <w:link w:val="Subtitle"/>
    <w:uiPriority w:val="11"/>
    <w:qFormat/>
    <w:rsid w:val="00dd17fa"/>
    <w:rPr>
      <w:rFonts w:ascii="Calibri" w:hAnsi="Calibri" w:eastAsia="ＭＳ ゴシック" w:cs="" w:asciiTheme="majorHAnsi" w:cstheme="majorBidi" w:eastAsiaTheme="majorEastAsia" w:hAnsiTheme="majorHAnsi"/>
      <w:i/>
      <w:iCs/>
      <w:color w:val="4F81BD" w:themeColor="accent1"/>
      <w:spacing w:val="15"/>
      <w:sz w:val="24"/>
      <w:szCs w:val="24"/>
    </w:rPr>
  </w:style>
  <w:style w:type="character" w:styleId="FootnoteTextChar" w:customStyle="1">
    <w:name w:val="Footnote Text Char"/>
    <w:basedOn w:val="DefaultParagraphFont"/>
    <w:link w:val="FootnoteText"/>
    <w:uiPriority w:val="99"/>
    <w:qFormat/>
    <w:rsid w:val="00f30700"/>
    <w:rPr>
      <w:rFonts w:eastAsia="Times New Roman"/>
      <w:sz w:val="24"/>
      <w:szCs w:val="24"/>
    </w:rPr>
  </w:style>
  <w:style w:type="character" w:styleId="Footnotereference">
    <w:name w:val="footnote reference"/>
    <w:basedOn w:val="DefaultParagraphFont"/>
    <w:uiPriority w:val="99"/>
    <w:unhideWhenUsed/>
    <w:qFormat/>
    <w:rsid w:val="00f30700"/>
    <w:rPr>
      <w:vertAlign w:val="superscript"/>
    </w:rPr>
  </w:style>
  <w:style w:type="character" w:styleId="FooterChar" w:customStyle="1">
    <w:name w:val="Footer Char"/>
    <w:basedOn w:val="DefaultParagraphFont"/>
    <w:link w:val="Footer"/>
    <w:uiPriority w:val="99"/>
    <w:qFormat/>
    <w:rsid w:val="00ac48ac"/>
    <w:rPr>
      <w:rFonts w:eastAsia="Times New Roman"/>
      <w:sz w:val="22"/>
      <w:szCs w:val="22"/>
    </w:rPr>
  </w:style>
  <w:style w:type="character" w:styleId="Pagenumber">
    <w:name w:val="page number"/>
    <w:basedOn w:val="DefaultParagraphFont"/>
    <w:uiPriority w:val="99"/>
    <w:semiHidden/>
    <w:unhideWhenUsed/>
    <w:qFormat/>
    <w:rsid w:val="00ac48ac"/>
    <w:rPr/>
  </w:style>
  <w:style w:type="character" w:styleId="Heading1Char" w:customStyle="1">
    <w:name w:val="Heading 1 Char"/>
    <w:basedOn w:val="DefaultParagraphFont"/>
    <w:link w:val="Heading1"/>
    <w:uiPriority w:val="9"/>
    <w:qFormat/>
    <w:rsid w:val="00ac48ac"/>
    <w:rPr>
      <w:rFonts w:ascii="Calibri" w:hAnsi="Calibri" w:eastAsia="ＭＳ ゴシック" w:cs="" w:asciiTheme="majorHAnsi" w:cstheme="majorBidi" w:eastAsiaTheme="majorEastAsia" w:hAnsiTheme="majorHAnsi"/>
      <w:b/>
      <w:bCs/>
      <w:color w:val="345A8A" w:themeColor="accent1" w:themeShade="b5"/>
      <w:sz w:val="32"/>
      <w:szCs w:val="32"/>
    </w:rPr>
  </w:style>
  <w:style w:type="character" w:styleId="Heading2Char" w:customStyle="1">
    <w:name w:val="Heading 2 Char"/>
    <w:basedOn w:val="DefaultParagraphFont"/>
    <w:link w:val="Heading2"/>
    <w:uiPriority w:val="9"/>
    <w:qFormat/>
    <w:rsid w:val="00ac48ac"/>
    <w:rPr>
      <w:rFonts w:ascii="Calibri" w:hAnsi="Calibri" w:eastAsia="ＭＳ ゴシック" w:cs="" w:asciiTheme="majorHAnsi" w:cstheme="majorBidi" w:eastAsiaTheme="majorEastAsia" w:hAnsiTheme="majorHAnsi"/>
      <w:b/>
      <w:bCs/>
      <w:color w:val="4F81BD" w:themeColor="accent1"/>
      <w:sz w:val="26"/>
      <w:szCs w:val="26"/>
    </w:rPr>
  </w:style>
  <w:style w:type="character" w:styleId="InternetLink">
    <w:name w:val="Internet Link"/>
    <w:basedOn w:val="DefaultParagraphFont"/>
    <w:uiPriority w:val="99"/>
    <w:unhideWhenUsed/>
    <w:rsid w:val="00d66529"/>
    <w:rPr>
      <w:color w:val="0000FF" w:themeColor="hyperlink"/>
      <w:u w:val="single"/>
    </w:rPr>
  </w:style>
  <w:style w:type="character" w:styleId="ListLabel1">
    <w:name w:val="ListLabel 1"/>
    <w:qFormat/>
    <w:rPr>
      <w:rFonts w:cs="Courier New"/>
    </w:rPr>
  </w:style>
  <w:style w:type="character" w:styleId="ListLabel2">
    <w:name w:val="ListLabel 2"/>
    <w:qFormat/>
    <w:rPr>
      <w:rFonts w:cs="Courier New"/>
    </w:rPr>
  </w:style>
  <w:style w:type="character" w:styleId="ListLabel3">
    <w:name w:val="ListLabel 3"/>
    <w:qFormat/>
    <w:rPr>
      <w:rFonts w:cs="Courier New"/>
    </w:rPr>
  </w:style>
  <w:style w:type="character" w:styleId="ListLabel4">
    <w:name w:val="ListLabel 4"/>
    <w:qFormat/>
    <w:rPr>
      <w:rFonts w:cs="Courier New"/>
    </w:rPr>
  </w:style>
  <w:style w:type="character" w:styleId="ListLabel5">
    <w:name w:val="ListLabel 5"/>
    <w:qFormat/>
    <w:rPr>
      <w:rFonts w:cs="Courier New"/>
    </w:rPr>
  </w:style>
  <w:style w:type="character" w:styleId="ListLabel6">
    <w:name w:val="ListLabel 6"/>
    <w:qFormat/>
    <w:rPr>
      <w:rFonts w:cs="Courier New"/>
    </w:rPr>
  </w:style>
  <w:style w:type="character" w:styleId="ListLabel7">
    <w:name w:val="ListLabel 7"/>
    <w:qFormat/>
    <w:rPr>
      <w:rFonts w:cs="Courier New"/>
    </w:rPr>
  </w:style>
  <w:style w:type="character" w:styleId="ListLabel8">
    <w:name w:val="ListLabel 8"/>
    <w:qFormat/>
    <w:rPr>
      <w:rFonts w:cs="Courier New"/>
    </w:rPr>
  </w:style>
  <w:style w:type="character" w:styleId="ListLabel9">
    <w:name w:val="ListLabel 9"/>
    <w:qFormat/>
    <w:rPr>
      <w:rFonts w:cs="Courier New"/>
    </w:rPr>
  </w:style>
  <w:style w:type="character" w:styleId="FootnoteCharacters">
    <w:name w:val="Footnote Characters"/>
    <w:qFormat/>
    <w:rPr/>
  </w:style>
  <w:style w:type="character" w:styleId="FootnoteAnchor">
    <w:name w:val="Footnote Anchor"/>
    <w:rPr>
      <w:vertAlign w:val="superscript"/>
    </w:rPr>
  </w:style>
  <w:style w:type="character" w:styleId="EndnoteAnchor">
    <w:name w:val="Endnote Anchor"/>
    <w:rPr>
      <w:vertAlign w:val="superscript"/>
    </w:rPr>
  </w:style>
  <w:style w:type="character" w:styleId="EndnoteCharacters">
    <w:name w:val="Endnote Characters"/>
    <w:qFormat/>
    <w:rPr/>
  </w:style>
  <w:style w:type="character" w:styleId="NumberingSymbols">
    <w:name w:val="Numbering Symbols"/>
    <w:qFormat/>
    <w:rPr/>
  </w:style>
  <w:style w:type="paragraph" w:styleId="Heading">
    <w:name w:val="Heading"/>
    <w:basedOn w:val="Normal"/>
    <w:next w:val="TextBody"/>
    <w:qFormat/>
    <w:pPr>
      <w:keepNext/>
      <w:spacing w:before="240" w:after="120"/>
    </w:pPr>
    <w:rPr>
      <w:rFonts w:ascii="Liberation Sans" w:hAnsi="Liberation Sans" w:eastAsia="AR PL SungtiL GB" w:cs="FreeSans"/>
      <w:sz w:val="28"/>
      <w:szCs w:val="28"/>
    </w:rPr>
  </w:style>
  <w:style w:type="paragraph" w:styleId="TextBody">
    <w:name w:val="Body Text"/>
    <w:basedOn w:val="Normal"/>
    <w:pPr>
      <w:spacing w:lineRule="auto" w:line="288" w:before="0" w:after="140"/>
    </w:pPr>
    <w:rPr/>
  </w:style>
  <w:style w:type="paragraph" w:styleId="List">
    <w:name w:val="List"/>
    <w:basedOn w:val="TextBody"/>
    <w:pPr/>
    <w:rPr>
      <w:rFonts w:cs="FreeSans"/>
    </w:rPr>
  </w:style>
  <w:style w:type="paragraph" w:styleId="Caption">
    <w:name w:val="Caption"/>
    <w:basedOn w:val="Normal"/>
    <w:qFormat/>
    <w:pPr>
      <w:suppressLineNumbers/>
      <w:spacing w:before="120" w:after="120"/>
    </w:pPr>
    <w:rPr>
      <w:rFonts w:cs="FreeSans"/>
      <w:i/>
      <w:iCs/>
      <w:sz w:val="24"/>
      <w:szCs w:val="24"/>
    </w:rPr>
  </w:style>
  <w:style w:type="paragraph" w:styleId="Index">
    <w:name w:val="Index"/>
    <w:basedOn w:val="Normal"/>
    <w:qFormat/>
    <w:pPr>
      <w:suppressLineNumbers/>
    </w:pPr>
    <w:rPr>
      <w:rFonts w:cs="FreeSans"/>
    </w:rPr>
  </w:style>
  <w:style w:type="paragraph" w:styleId="BalloonText">
    <w:name w:val="Balloon Text"/>
    <w:basedOn w:val="Normal"/>
    <w:link w:val="BalloonTextChar"/>
    <w:uiPriority w:val="99"/>
    <w:semiHidden/>
    <w:unhideWhenUsed/>
    <w:qFormat/>
    <w:rsid w:val="002a185a"/>
    <w:pPr/>
    <w:rPr>
      <w:rFonts w:ascii="Lucida Grande" w:hAnsi="Lucida Grande"/>
      <w:sz w:val="18"/>
      <w:szCs w:val="18"/>
    </w:rPr>
  </w:style>
  <w:style w:type="paragraph" w:styleId="Title">
    <w:name w:val="Title"/>
    <w:basedOn w:val="Normal"/>
    <w:next w:val="Normal"/>
    <w:link w:val="TitleChar"/>
    <w:uiPriority w:val="10"/>
    <w:qFormat/>
    <w:rsid w:val="00dd17fa"/>
    <w:pPr>
      <w:pBdr>
        <w:bottom w:val="single" w:sz="8" w:space="4" w:color="4F81BD"/>
      </w:pBdr>
      <w:spacing w:before="0" w:after="300"/>
      <w:contextualSpacing/>
    </w:pPr>
    <w:rPr>
      <w:rFonts w:ascii="Calibri" w:hAnsi="Calibri" w:eastAsia="ＭＳ ゴシック" w:cs="" w:asciiTheme="majorHAnsi" w:cstheme="majorBidi" w:eastAsiaTheme="majorEastAsia" w:hAnsiTheme="majorHAnsi"/>
      <w:color w:val="17365D" w:themeColor="text2" w:themeShade="bf"/>
      <w:spacing w:val="5"/>
      <w:sz w:val="52"/>
      <w:szCs w:val="52"/>
    </w:rPr>
  </w:style>
  <w:style w:type="paragraph" w:styleId="Subtitle">
    <w:name w:val="Subtitle"/>
    <w:basedOn w:val="Normal"/>
    <w:next w:val="Normal"/>
    <w:link w:val="SubtitleChar"/>
    <w:uiPriority w:val="11"/>
    <w:qFormat/>
    <w:rsid w:val="00dd17fa"/>
    <w:pPr/>
    <w:rPr>
      <w:rFonts w:ascii="Calibri" w:hAnsi="Calibri" w:eastAsia="ＭＳ ゴシック" w:cs="" w:asciiTheme="majorHAnsi" w:cstheme="majorBidi" w:eastAsiaTheme="majorEastAsia" w:hAnsiTheme="majorHAnsi"/>
      <w:i/>
      <w:iCs/>
      <w:color w:val="4F81BD" w:themeColor="accent1"/>
      <w:spacing w:val="15"/>
      <w:sz w:val="24"/>
      <w:szCs w:val="24"/>
    </w:rPr>
  </w:style>
  <w:style w:type="paragraph" w:styleId="Footnotetext">
    <w:name w:val="footnote text"/>
    <w:basedOn w:val="Normal"/>
    <w:link w:val="FootnoteTextChar"/>
    <w:uiPriority w:val="99"/>
    <w:unhideWhenUsed/>
    <w:qFormat/>
    <w:rsid w:val="00f30700"/>
    <w:pPr/>
    <w:rPr>
      <w:sz w:val="24"/>
      <w:szCs w:val="24"/>
    </w:rPr>
  </w:style>
  <w:style w:type="paragraph" w:styleId="Footer">
    <w:name w:val="Footer"/>
    <w:basedOn w:val="Normal"/>
    <w:link w:val="FooterChar"/>
    <w:uiPriority w:val="99"/>
    <w:unhideWhenUsed/>
    <w:rsid w:val="00ac48ac"/>
    <w:pPr>
      <w:tabs>
        <w:tab w:val="center" w:pos="4320" w:leader="none"/>
        <w:tab w:val="right" w:pos="8640" w:leader="none"/>
      </w:tabs>
    </w:pPr>
    <w:rPr/>
  </w:style>
  <w:style w:type="paragraph" w:styleId="Caption1">
    <w:name w:val="caption"/>
    <w:basedOn w:val="Normal"/>
    <w:next w:val="Normal"/>
    <w:uiPriority w:val="35"/>
    <w:unhideWhenUsed/>
    <w:qFormat/>
    <w:rsid w:val="00671ad0"/>
    <w:pPr>
      <w:spacing w:before="0" w:after="200"/>
    </w:pPr>
    <w:rPr>
      <w:b/>
      <w:bCs/>
      <w:color w:val="4F81BD" w:themeColor="accent1"/>
      <w:sz w:val="18"/>
      <w:szCs w:val="18"/>
    </w:rPr>
  </w:style>
  <w:style w:type="paragraph" w:styleId="ListParagraph">
    <w:name w:val="List Paragraph"/>
    <w:basedOn w:val="Normal"/>
    <w:uiPriority w:val="34"/>
    <w:qFormat/>
    <w:rsid w:val="005549d5"/>
    <w:pPr>
      <w:spacing w:before="0" w:after="0"/>
      <w:ind w:left="720" w:hanging="0"/>
      <w:contextualSpacing/>
    </w:pPr>
    <w:rPr/>
  </w:style>
  <w:style w:type="paragraph" w:styleId="FrameContents">
    <w:name w:val="Frame Contents"/>
    <w:basedOn w:val="Normal"/>
    <w:qFormat/>
    <w:pPr/>
    <w:rPr/>
  </w:style>
  <w:style w:type="paragraph" w:styleId="Footnote">
    <w:name w:val="Footnote Text"/>
    <w:basedOn w:val="Normal"/>
    <w:pPr/>
    <w:rPr/>
  </w:style>
  <w:style w:type="paragraph" w:styleId="TableContents">
    <w:name w:val="Table Contents"/>
    <w:basedOn w:val="Normal"/>
    <w:qFormat/>
    <w:pPr/>
    <w:rPr/>
  </w:style>
  <w:style w:type="paragraph" w:styleId="TableHeading">
    <w:name w:val="Table Heading"/>
    <w:basedOn w:val="TableContents"/>
    <w:qFormat/>
    <w:pPr/>
    <w:rPr/>
  </w:style>
  <w:style w:type="paragraph" w:styleId="Elsbodytext">
    <w:name w:val="Els-body-text"/>
    <w:qFormat/>
    <w:pPr>
      <w:widowControl/>
      <w:bidi w:val="0"/>
      <w:spacing w:lineRule="exact" w:line="240" w:before="0" w:after="0"/>
      <w:ind w:firstLine="238"/>
      <w:jc w:val="both"/>
    </w:pPr>
    <w:rPr>
      <w:rFonts w:ascii="Times New Roman" w:hAnsi="Times New Roman" w:eastAsia="SimSun" w:cs="Times New Roman"/>
      <w:color w:val="auto"/>
      <w:sz w:val="20"/>
      <w:szCs w:val="20"/>
      <w:lang w:val="en-US" w:eastAsia="ja-JP" w:bidi="ar-SA"/>
    </w:rPr>
  </w:style>
  <w:style w:type="paragraph" w:styleId="MainText">
    <w:name w:val="Main Text"/>
    <w:basedOn w:val="Elsbodytext"/>
    <w:qFormat/>
    <w:pPr>
      <w:ind w:right="-28" w:firstLine="238"/>
    </w:pPr>
    <w:rPr/>
  </w:style>
  <w:style w:type="paragraph" w:styleId="Table">
    <w:name w:val="Table"/>
    <w:basedOn w:val="Caption"/>
    <w:qFormat/>
    <w:pPr/>
    <w:rPr/>
  </w:style>
  <w:style w:type="numbering" w:styleId="NoList" w:default="1">
    <w:name w:val="No List"/>
    <w:uiPriority w:val="99"/>
    <w:semiHidden/>
    <w:unhideWhenUsed/>
    <w:qFormat/>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table" w:styleId="TableGrid">
    <w:name w:val="Table Grid"/>
    <w:basedOn w:val="TableNormal"/>
    <w:uiPriority w:val="59"/>
    <w:rsid w:val="000063cf"/>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MediumList2-Accent1">
    <w:name w:val="Medium List 2 Accent 1"/>
    <w:basedOn w:val="TableNormal"/>
    <w:uiPriority w:val="66"/>
    <w:rsid w:val="006832b8"/>
    <w:rPr>
      <w:rFonts w:asciiTheme="majorHAnsi" w:hAnsiTheme="majorHAnsi" w:eastAsiaTheme="majorEastAsia" w:cstheme="majorBidi"/>
      <w:lang w:eastAsia="en-US"/>
      <w:color w:val="000000" w:themeColor="text1"/>
      <w:sz w:val="22"/>
      <w:szCs w:val="22"/>
    </w:rPr>
    <w:tblPr>
      <w:tblStyleRowBandSize w:val="1"/>
      <w:tblStyleColBandSize w:val="1"/>
      <w:tblBorders>
        <w:top w:val="single" w:color="4F81BD" w:themeColor="accent1" w:sz="8" w:space="0"/>
        <w:left w:val="single" w:color="4F81BD" w:themeColor="accent1" w:sz="8" w:space="0"/>
        <w:bottom w:val="single" w:color="4F81BD" w:themeColor="accent1" w:sz="8" w:space="0"/>
        <w:right w:val="single" w:color="4F81BD" w:themeColor="accent1" w:sz="8" w:space="0"/>
      </w:tblBorders>
    </w:tblPr>
    <w:tblStylePr w:type="firstRow">
      <w:rPr>
        <w:sz w:val="24"/>
        <w:szCs w:val="24"/>
      </w:rPr>
      <w:tblPr/>
      <w:tcPr>
        <w:tcBorders>
          <w:top w:val="nil"/>
          <w:left w:val="nil"/>
          <w:bottom w:val="single" w:color="4F81BD" w:themeColor="accent1" w:sz="24" w:space="0"/>
          <w:right w:val="nil"/>
          <w:insideH w:val="nil"/>
          <w:insideV w:val="nil"/>
        </w:tcBorders>
        <w:shd w:val="clear" w:color="auto" w:fill="FFFFFF" w:themeFill="background1"/>
      </w:tcPr>
    </w:tblStylePr>
    <w:tblStylePr w:type="lastRow">
      <w:tblPr/>
      <w:tcPr>
        <w:tcBorders>
          <w:top w:val="single" w:color="4F81BD" w:themeColor="accent1"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4F81BD" w:themeColor="accent1" w:sz="8" w:space="0"/>
          <w:insideH w:val="nil"/>
          <w:insideV w:val="nil"/>
        </w:tcBorders>
        <w:shd w:val="clear" w:color="auto" w:fill="FFFFFF" w:themeFill="background1"/>
      </w:tcPr>
    </w:tblStylePr>
    <w:tblStylePr w:type="lastCol">
      <w:tblPr/>
      <w:tcPr>
        <w:tcBorders>
          <w:top w:val="nil"/>
          <w:left w:val="single" w:color="4F81BD" w:themeColor="accent1"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hyperlink" Target="http://n.ethz.ch/~fwalter/" TargetMode="External"/><Relationship Id="rId4" Type="http://schemas.openxmlformats.org/officeDocument/2006/relationships/footer" Target="footer1.xml"/><Relationship Id="rId5" Type="http://schemas.openxmlformats.org/officeDocument/2006/relationships/numbering" Target="numbering.xml"/><Relationship Id="rId6" Type="http://schemas.openxmlformats.org/officeDocument/2006/relationships/fontTable" Target="fontTable.xml"/><Relationship Id="rId7" Type="http://schemas.openxmlformats.org/officeDocument/2006/relationships/settings" Target="settings.xml"/><Relationship Id="rId8" Type="http://schemas.openxmlformats.org/officeDocument/2006/relationships/theme" Target="theme/theme1.xml"/><Relationship Id="rId9" Type="http://schemas.openxmlformats.org/officeDocument/2006/relationships/customXml" Target="../customXml/item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D75237-66BE-497F-8007-DB775472C2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831</TotalTime>
  <Application>LibreOffice/5.2.7.2$Linux_X86_64 LibreOffice_project/20m0$Build-2</Application>
  <Pages>5</Pages>
  <Words>1266</Words>
  <Characters>8334</Characters>
  <CharactersWithSpaces>9505</CharactersWithSpaces>
  <Paragraphs>113</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2016-11-14T07:38:00Z</dcterms:created>
  <dc:creator>Utilisateur de Microsoft Office</dc:creator>
  <dc:description/>
  <dc:language>en-US</dc:language>
  <cp:lastModifiedBy/>
  <dcterms:modified xsi:type="dcterms:W3CDTF">2018-10-25T17:36:04Z</dcterms:modified>
  <cp:revision>262</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